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904F06">
      <w:pPr>
        <w:pStyle w:val="Nadpis2"/>
        <w:spacing w:before="0" w:after="0" w:afterAutospacing="0" w:line="480" w:lineRule="atLeast"/>
        <w:divId w:val="1370375772"/>
        <w:rPr>
          <w:rFonts w:ascii="Tahoma" w:eastAsia="Times New Roman" w:hAnsi="Tahoma" w:cs="Tahoma"/>
          <w:sz w:val="21"/>
          <w:szCs w:val="21"/>
        </w:rPr>
      </w:pPr>
      <w:r>
        <w:rPr>
          <w:rFonts w:ascii="Tahoma" w:eastAsia="Times New Roman" w:hAnsi="Tahoma" w:cs="Tahoma"/>
          <w:sz w:val="21"/>
          <w:szCs w:val="21"/>
        </w:rPr>
        <w:t>Informace o projektu:</w:t>
      </w:r>
    </w:p>
    <w:p w:rsidR="00000000" w:rsidRDefault="00904F06">
      <w:pPr>
        <w:spacing w:line="480" w:lineRule="atLeast"/>
        <w:divId w:val="1370375772"/>
        <w:rPr>
          <w:rFonts w:ascii="Tahoma" w:eastAsia="Times New Roman" w:hAnsi="Tahoma" w:cs="Tahoma"/>
          <w:sz w:val="19"/>
          <w:szCs w:val="19"/>
        </w:rPr>
      </w:pPr>
      <w:r>
        <w:rPr>
          <w:rFonts w:ascii="Tahoma" w:eastAsia="Times New Roman" w:hAnsi="Tahoma" w:cs="Tahoma"/>
          <w:sz w:val="19"/>
          <w:szCs w:val="19"/>
        </w:rPr>
        <w:br/>
        <w:t>Výpočet a řízení rizik proveden na software hakelsoft p ed.2</w:t>
      </w:r>
      <w:r>
        <w:rPr>
          <w:rFonts w:ascii="Tahoma" w:eastAsia="Times New Roman" w:hAnsi="Tahoma" w:cs="Tahoma"/>
          <w:sz w:val="19"/>
          <w:szCs w:val="19"/>
        </w:rPr>
        <w:br/>
        <w:t xml:space="preserve">26.11.2017 11:58:27 </w:t>
      </w:r>
      <w:bookmarkStart w:id="0" w:name="_GoBack"/>
      <w:bookmarkEnd w:id="0"/>
    </w:p>
    <w:p w:rsidR="00000000" w:rsidRDefault="00904F06">
      <w:pPr>
        <w:pStyle w:val="Nadpis3"/>
        <w:spacing w:line="480" w:lineRule="atLeast"/>
        <w:divId w:val="1370375772"/>
        <w:rPr>
          <w:rFonts w:ascii="Tahoma" w:eastAsia="Times New Roman" w:hAnsi="Tahoma" w:cs="Tahoma"/>
          <w:sz w:val="19"/>
          <w:szCs w:val="19"/>
        </w:rPr>
      </w:pPr>
      <w:r>
        <w:rPr>
          <w:rFonts w:ascii="Tahoma" w:eastAsia="Times New Roman" w:hAnsi="Tahoma" w:cs="Tahoma"/>
          <w:sz w:val="19"/>
          <w:szCs w:val="19"/>
        </w:rPr>
        <w:t>Stavba:</w:t>
      </w:r>
    </w:p>
    <w:p w:rsidR="00000000" w:rsidRDefault="00904F06">
      <w:pPr>
        <w:pStyle w:val="FormtovanvHTML"/>
        <w:spacing w:line="480" w:lineRule="atLeast"/>
        <w:divId w:val="1370375772"/>
      </w:pPr>
      <w:r>
        <w:t>Předmětem dokumentace pro provádění stavby je stavební záměr rekonstrukce a nástavba objektu A. Jedná se o výměnu stávajícího lehkého obvodového pláště, nástavbu pěti pater, zateplení střechy a rekonstrukci interiéru objektu.  V rámci rekonstrukce fasády s</w:t>
      </w:r>
      <w:r>
        <w:t xml:space="preserve">e provede demontáž stávajícího lehkého obvodového pláště (dále LOP) od 2.NP do 19.NP a místo něho se osadí nový lehký obvodový plášť, montovaná fasáda, složená z jednotlivých, předem vyrobených bloků. Rekonstrukce interiérů bude provedena v podlažích 2.PP </w:t>
      </w:r>
      <w:r>
        <w:t>– 18.NP, 19 NP bude ubouráno, a nově bude provedena nástavba 19. – 24.NP. Ve stávajících patrech budou vybourány veškeré příčky a instalace. Součástí rekonstrukce interiérů je i výměna stávajících výtahů a úplná rekonstrukce hygienických zázemí v jádrech o</w:t>
      </w:r>
      <w:r>
        <w:t xml:space="preserve">bjektu. </w:t>
      </w:r>
    </w:p>
    <w:p w:rsidR="00000000" w:rsidRDefault="00904F06">
      <w:pPr>
        <w:pStyle w:val="FormtovanvHTML"/>
        <w:spacing w:line="480" w:lineRule="atLeast"/>
        <w:divId w:val="1370375772"/>
      </w:pPr>
      <w:r>
        <w:t>Výšková budova B vznikla jako druhá ze tří výškových administrativních budov v Šumavské ulici v Brně, které byly postaveny v letech 1967-1974. Objekt je konstrukčně řešen jako montovaný železobetonový skelet s taženým železobetonovým jádrem a mono</w:t>
      </w:r>
      <w:r>
        <w:t>litickými železobetonovými suterény. Stávající objekt má 2 podzemní a 19 nadzemních podlaží o celkové nadzemní výšce 62,7 m. Půdorys objektu je obdélníkového tvaru s půdorysným rozměrem 26 x 23,1 m. Konstrukční výška typického podlaží je 3160 mm. Objekt je</w:t>
      </w:r>
      <w:r>
        <w:t xml:space="preserve"> půdorysně řešen jako čtyřtakt s převislými konci v osovém modulu 1800 mm + 4x 4800 mm + 1800 mm v příčném směru a 6250-6300-6300-6250 mm v podélném směru. Nosná konstrukce stropů je tvořena prefabrikovanými železobetonovými stropnicemi </w:t>
      </w:r>
      <w:r>
        <w:lastRenderedPageBreak/>
        <w:t>tloušťky 200 mm. St</w:t>
      </w:r>
      <w:r>
        <w:t>ropní desky v místě taženého jádra jsou tloušťky 140 mm. Tažené jádro je tvořeno nosnými zdmi tl. 200 mm a pilíři o rozměrech  400 x 400 mm. Prefabrikované nosné sloupy jsou o rozměrech 400 x 600 mm. Uložení stropních desek je do systému kapes, vynechaných</w:t>
      </w:r>
      <w:r>
        <w:t xml:space="preserve"> ve zdech taženého jádra. Kapsy rozměrů 200x200 mm jsou vytvořeny plechovým ztraceným bedněním dvojího typu. První typ je jednostranně otevřená, druhý oboustranně otevřená kapsa. Vstupní podlaží má konstrukční výšku 3925 mm a je přístupné spojovacím jednop</w:t>
      </w:r>
      <w:r>
        <w:t>odlažním krčkem z budovy D. Půdorysně je vnější plášť vstupního podlaží ustoupený oproti ostatním podlažím. Vzniklé podloubí navazuje na okolní budovy. Suterén objektu je dvoupodlažní. Konstrukční výška 1.PP je 5245 mm. Konstrukční výška 2.PP je 3185 mm. S</w:t>
      </w:r>
      <w:r>
        <w:t xml:space="preserve">uterén je využíván převážně jako sklady a technické zázemí objektu. Nově </w:t>
      </w:r>
    </w:p>
    <w:p w:rsidR="00000000" w:rsidRDefault="00904F06">
      <w:pPr>
        <w:pStyle w:val="FormtovanvHTML"/>
        <w:spacing w:line="480" w:lineRule="atLeast"/>
        <w:divId w:val="1370375772"/>
      </w:pPr>
      <w:r>
        <w:t>Veškeré nosné konstrukce nástavby jsou navrženy tak, aby navazovali na nosní systém stávajícího 18. podlažního objektu. Svislé nosné konstrukce jsou v nástavbě navržené jako železobe</w:t>
      </w:r>
      <w:r>
        <w:t xml:space="preserve">tonové monolitické sloupy 400x600 mm. Uvnitř dispozice se nachází železobetonové monolitické jádro, které je řešeno jako železobetonové stěny tloušťky 150-200 mm. Uvnitř železobetonového jádra se nachází schodiště nástavby, výtahy a hygienické a technické </w:t>
      </w:r>
      <w:r>
        <w:t>zázemí jednotlivých podlaží. Konstrukční výška podlaží 19-21.np je 3250 mm a poslední patro má konstrukční výšku 3925mm. Celková výška budovy je 75,862 včetně ocelové konstrukce pro technologie umístěné na střeše objektu.</w:t>
      </w:r>
    </w:p>
    <w:p w:rsidR="00000000" w:rsidRDefault="00904F06">
      <w:pPr>
        <w:pStyle w:val="FormtovanvHTML"/>
        <w:spacing w:line="480" w:lineRule="atLeast"/>
        <w:divId w:val="1370375772"/>
      </w:pPr>
    </w:p>
    <w:p w:rsidR="00000000" w:rsidRDefault="00904F06">
      <w:pPr>
        <w:pStyle w:val="Nadpis3"/>
        <w:spacing w:line="480" w:lineRule="atLeast"/>
        <w:divId w:val="1370375772"/>
        <w:rPr>
          <w:rFonts w:ascii="Tahoma" w:eastAsia="Times New Roman" w:hAnsi="Tahoma" w:cs="Tahoma"/>
          <w:sz w:val="19"/>
          <w:szCs w:val="19"/>
        </w:rPr>
      </w:pPr>
      <w:r>
        <w:rPr>
          <w:rFonts w:ascii="Tahoma" w:eastAsia="Times New Roman" w:hAnsi="Tahoma" w:cs="Tahoma"/>
          <w:sz w:val="19"/>
          <w:szCs w:val="19"/>
        </w:rPr>
        <w:t>Vypracoval:</w:t>
      </w:r>
    </w:p>
    <w:p w:rsidR="00000000" w:rsidRDefault="00904F06">
      <w:pPr>
        <w:pStyle w:val="FormtovanvHTML"/>
        <w:spacing w:line="480" w:lineRule="atLeast"/>
        <w:divId w:val="1370375772"/>
      </w:pPr>
      <w:r>
        <w:t>Ing. Martin Veselý, M</w:t>
      </w:r>
      <w:r>
        <w:t>Sc.</w:t>
      </w:r>
    </w:p>
    <w:p w:rsidR="00000000" w:rsidRDefault="00904F06">
      <w:pPr>
        <w:pStyle w:val="FormtovanvHTML"/>
        <w:spacing w:line="480" w:lineRule="atLeast"/>
        <w:divId w:val="1370375772"/>
      </w:pPr>
      <w:r>
        <w:t>Autorizovaný technik pro technologická zařízení staveb  - ČKAIT – 1006152.</w:t>
      </w:r>
    </w:p>
    <w:p w:rsidR="00000000" w:rsidRDefault="00904F06">
      <w:pPr>
        <w:pStyle w:val="FormtovanvHTML"/>
        <w:spacing w:line="480" w:lineRule="atLeast"/>
        <w:divId w:val="1370375772"/>
      </w:pPr>
      <w:r>
        <w:lastRenderedPageBreak/>
        <w:t xml:space="preserve">Autorizovaná technik pro  prostředí staveb specializace – elektrotechnická zařízení - ČKAIT – 1006152. </w:t>
      </w:r>
    </w:p>
    <w:p w:rsidR="00000000" w:rsidRDefault="00904F06">
      <w:pPr>
        <w:pStyle w:val="FormtovanvHTML"/>
        <w:spacing w:line="480" w:lineRule="atLeast"/>
        <w:divId w:val="1370375772"/>
      </w:pPr>
      <w:r>
        <w:t>Tel: 606 836 000, email: vesely@pinelexsys.cz</w:t>
      </w:r>
    </w:p>
    <w:p w:rsidR="00000000" w:rsidRDefault="00904F06">
      <w:pPr>
        <w:pStyle w:val="FormtovanvHTML"/>
        <w:spacing w:line="480" w:lineRule="atLeast"/>
        <w:divId w:val="1370375772"/>
      </w:pPr>
    </w:p>
    <w:p w:rsidR="00000000" w:rsidRDefault="00904F06">
      <w:pPr>
        <w:pStyle w:val="FormtovanvHTML"/>
        <w:spacing w:line="480" w:lineRule="atLeast"/>
        <w:divId w:val="1370375772"/>
      </w:pPr>
      <w:r>
        <w:t>PINELEXSYS s.r.o.</w:t>
      </w:r>
    </w:p>
    <w:p w:rsidR="00000000" w:rsidRDefault="00904F06">
      <w:pPr>
        <w:pStyle w:val="FormtovanvHTML"/>
        <w:spacing w:line="480" w:lineRule="atLeast"/>
        <w:divId w:val="1370375772"/>
      </w:pPr>
      <w:r>
        <w:t>Veveří 4</w:t>
      </w:r>
      <w:r>
        <w:t>86/57</w:t>
      </w:r>
    </w:p>
    <w:p w:rsidR="00000000" w:rsidRDefault="00904F06">
      <w:pPr>
        <w:pStyle w:val="FormtovanvHTML"/>
        <w:spacing w:line="480" w:lineRule="atLeast"/>
        <w:divId w:val="1370375772"/>
      </w:pPr>
      <w:r>
        <w:t>602 00 Brno</w:t>
      </w:r>
    </w:p>
    <w:p w:rsidR="00000000" w:rsidRDefault="00904F06">
      <w:pPr>
        <w:pStyle w:val="Nadpis3"/>
        <w:spacing w:line="480" w:lineRule="atLeast"/>
        <w:divId w:val="1370375772"/>
        <w:rPr>
          <w:rFonts w:ascii="Tahoma" w:eastAsia="Times New Roman" w:hAnsi="Tahoma" w:cs="Tahoma"/>
          <w:sz w:val="19"/>
          <w:szCs w:val="19"/>
        </w:rPr>
      </w:pPr>
      <w:r>
        <w:rPr>
          <w:rFonts w:ascii="Tahoma" w:eastAsia="Times New Roman" w:hAnsi="Tahoma" w:cs="Tahoma"/>
          <w:sz w:val="19"/>
          <w:szCs w:val="19"/>
        </w:rPr>
        <w:t>Poznámky:</w:t>
      </w:r>
    </w:p>
    <w:p w:rsidR="00000000" w:rsidRDefault="00904F06">
      <w:pPr>
        <w:pStyle w:val="FormtovanvHTML"/>
        <w:spacing w:line="480" w:lineRule="atLeast"/>
        <w:divId w:val="1370375772"/>
      </w:pPr>
      <w:r>
        <w:t>Výpočet a řízení rizik v souladu se souborem norem ČSN EN 62305 ed2.</w:t>
      </w:r>
    </w:p>
    <w:p w:rsidR="00000000" w:rsidRDefault="00904F06">
      <w:pPr>
        <w:pStyle w:val="FormtovanvHTML"/>
        <w:spacing w:line="480" w:lineRule="atLeast"/>
        <w:divId w:val="1370375772"/>
      </w:pPr>
      <w:r>
        <w:t>Objekt je zařazen dle systému vnější ochrany do třídy LPS III dle souboru norem ČSN EN 62305 ed-2</w:t>
      </w:r>
    </w:p>
    <w:p w:rsidR="00000000" w:rsidRDefault="00904F06">
      <w:pPr>
        <w:pStyle w:val="Nadpis3"/>
        <w:spacing w:line="480" w:lineRule="atLeast"/>
        <w:divId w:val="1370375772"/>
        <w:rPr>
          <w:rFonts w:ascii="Tahoma" w:eastAsia="Times New Roman" w:hAnsi="Tahoma" w:cs="Tahoma"/>
          <w:sz w:val="19"/>
          <w:szCs w:val="19"/>
        </w:rPr>
      </w:pPr>
      <w:r>
        <w:rPr>
          <w:rFonts w:ascii="Tahoma" w:eastAsia="Times New Roman" w:hAnsi="Tahoma" w:cs="Tahoma"/>
          <w:sz w:val="19"/>
          <w:szCs w:val="19"/>
        </w:rPr>
        <w:t>Stavba:</w:t>
      </w:r>
    </w:p>
    <w:p w:rsidR="00000000" w:rsidRDefault="00904F06">
      <w:pPr>
        <w:spacing w:line="480" w:lineRule="atLeast"/>
        <w:divId w:val="1370375772"/>
        <w:rPr>
          <w:rFonts w:ascii="Tahoma" w:eastAsia="Times New Roman" w:hAnsi="Tahoma" w:cs="Tahoma"/>
          <w:sz w:val="19"/>
          <w:szCs w:val="19"/>
        </w:rPr>
      </w:pPr>
      <w:r>
        <w:rPr>
          <w:rFonts w:ascii="Tahoma" w:eastAsia="Times New Roman" w:hAnsi="Tahoma" w:cs="Tahoma"/>
          <w:sz w:val="19"/>
          <w:szCs w:val="19"/>
        </w:rPr>
        <w:t>Typ stavby: Obchodní stavba</w:t>
      </w:r>
      <w:r>
        <w:rPr>
          <w:rFonts w:ascii="Tahoma" w:eastAsia="Times New Roman" w:hAnsi="Tahoma" w:cs="Tahoma"/>
          <w:sz w:val="19"/>
          <w:szCs w:val="19"/>
        </w:rPr>
        <w:br/>
      </w:r>
      <w:r>
        <w:rPr>
          <w:rFonts w:ascii="Tahoma" w:eastAsia="Times New Roman" w:hAnsi="Tahoma" w:cs="Tahoma"/>
          <w:sz w:val="19"/>
          <w:szCs w:val="19"/>
        </w:rPr>
        <w:br/>
        <w:t>Sběrná plocha</w:t>
      </w:r>
      <w:r>
        <w:rPr>
          <w:rFonts w:ascii="Tahoma" w:eastAsia="Times New Roman" w:hAnsi="Tahoma" w:cs="Tahoma"/>
          <w:sz w:val="19"/>
          <w:szCs w:val="19"/>
        </w:rPr>
        <w:br/>
        <w:t>A</w:t>
      </w:r>
      <w:r>
        <w:rPr>
          <w:rFonts w:ascii="Tahoma" w:eastAsia="Times New Roman" w:hAnsi="Tahoma" w:cs="Tahoma"/>
          <w:sz w:val="19"/>
          <w:szCs w:val="19"/>
          <w:vertAlign w:val="subscript"/>
        </w:rPr>
        <w:t>D</w:t>
      </w:r>
      <w:r>
        <w:rPr>
          <w:rFonts w:ascii="Tahoma" w:eastAsia="Times New Roman" w:hAnsi="Tahoma" w:cs="Tahoma"/>
          <w:sz w:val="19"/>
          <w:szCs w:val="19"/>
        </w:rPr>
        <w:t>: 186 46</w:t>
      </w:r>
      <w:r>
        <w:rPr>
          <w:rFonts w:ascii="Tahoma" w:eastAsia="Times New Roman" w:hAnsi="Tahoma" w:cs="Tahoma"/>
          <w:sz w:val="19"/>
          <w:szCs w:val="19"/>
        </w:rPr>
        <w:t>8,0153725396 m</w:t>
      </w:r>
      <w:r>
        <w:rPr>
          <w:rFonts w:ascii="Tahoma" w:eastAsia="Times New Roman" w:hAnsi="Tahoma" w:cs="Tahoma"/>
          <w:sz w:val="19"/>
          <w:szCs w:val="19"/>
          <w:vertAlign w:val="superscript"/>
        </w:rPr>
        <w:t>2</w:t>
      </w:r>
      <w:r>
        <w:rPr>
          <w:rFonts w:ascii="Tahoma" w:eastAsia="Times New Roman" w:hAnsi="Tahoma" w:cs="Tahoma"/>
          <w:sz w:val="19"/>
          <w:szCs w:val="19"/>
        </w:rPr>
        <w:br/>
        <w:t>A</w:t>
      </w:r>
      <w:r>
        <w:rPr>
          <w:rFonts w:ascii="Tahoma" w:eastAsia="Times New Roman" w:hAnsi="Tahoma" w:cs="Tahoma"/>
          <w:sz w:val="19"/>
          <w:szCs w:val="19"/>
          <w:vertAlign w:val="subscript"/>
        </w:rPr>
        <w:t>M</w:t>
      </w:r>
      <w:r>
        <w:rPr>
          <w:rFonts w:ascii="Tahoma" w:eastAsia="Times New Roman" w:hAnsi="Tahoma" w:cs="Tahoma"/>
          <w:sz w:val="19"/>
          <w:szCs w:val="19"/>
        </w:rPr>
        <w:t>: 835 798,1633974483 m</w:t>
      </w:r>
      <w:r>
        <w:rPr>
          <w:rFonts w:ascii="Tahoma" w:eastAsia="Times New Roman" w:hAnsi="Tahoma" w:cs="Tahoma"/>
          <w:sz w:val="19"/>
          <w:szCs w:val="19"/>
          <w:vertAlign w:val="superscript"/>
        </w:rPr>
        <w:t>2</w:t>
      </w:r>
      <w:r>
        <w:rPr>
          <w:rFonts w:ascii="Tahoma" w:eastAsia="Times New Roman" w:hAnsi="Tahoma" w:cs="Tahoma"/>
          <w:sz w:val="19"/>
          <w:szCs w:val="19"/>
        </w:rPr>
        <w:br/>
        <w:t>délka L: 26,7 m</w:t>
      </w:r>
      <w:r>
        <w:rPr>
          <w:rFonts w:ascii="Tahoma" w:eastAsia="Times New Roman" w:hAnsi="Tahoma" w:cs="Tahoma"/>
          <w:sz w:val="19"/>
          <w:szCs w:val="19"/>
        </w:rPr>
        <w:br/>
        <w:t>šířka W: 23,7 m</w:t>
      </w:r>
      <w:r>
        <w:rPr>
          <w:rFonts w:ascii="Tahoma" w:eastAsia="Times New Roman" w:hAnsi="Tahoma" w:cs="Tahoma"/>
          <w:sz w:val="19"/>
          <w:szCs w:val="19"/>
        </w:rPr>
        <w:br/>
        <w:t>výška H: 75,9 m</w:t>
      </w:r>
      <w:r>
        <w:rPr>
          <w:rFonts w:ascii="Tahoma" w:eastAsia="Times New Roman" w:hAnsi="Tahoma" w:cs="Tahoma"/>
          <w:sz w:val="19"/>
          <w:szCs w:val="19"/>
        </w:rPr>
        <w:br/>
      </w:r>
      <w:r>
        <w:rPr>
          <w:rFonts w:ascii="Tahoma" w:eastAsia="Times New Roman" w:hAnsi="Tahoma" w:cs="Tahoma"/>
          <w:sz w:val="19"/>
          <w:szCs w:val="19"/>
        </w:rPr>
        <w:br/>
        <w:t xml:space="preserve">Činitel polohy: Objekt obklopen objekty nebo stromy stejné výšky nebo nižšími </w:t>
      </w:r>
      <w:r>
        <w:rPr>
          <w:rFonts w:ascii="Tahoma" w:eastAsia="Times New Roman" w:hAnsi="Tahoma" w:cs="Tahoma"/>
          <w:sz w:val="19"/>
          <w:szCs w:val="19"/>
        </w:rPr>
        <w:br/>
      </w:r>
      <w:r>
        <w:rPr>
          <w:rFonts w:ascii="Tahoma" w:eastAsia="Times New Roman" w:hAnsi="Tahoma" w:cs="Tahoma"/>
          <w:sz w:val="19"/>
          <w:szCs w:val="19"/>
        </w:rPr>
        <w:br/>
        <w:t>Bouřkové dny</w:t>
      </w:r>
      <w:r>
        <w:rPr>
          <w:rFonts w:ascii="Tahoma" w:eastAsia="Times New Roman" w:hAnsi="Tahoma" w:cs="Tahoma"/>
          <w:sz w:val="19"/>
          <w:szCs w:val="19"/>
        </w:rPr>
        <w:br/>
        <w:t>Počet bouřkových dnů: 30 za rok</w:t>
      </w:r>
      <w:r>
        <w:rPr>
          <w:rFonts w:ascii="Tahoma" w:eastAsia="Times New Roman" w:hAnsi="Tahoma" w:cs="Tahoma"/>
          <w:sz w:val="19"/>
          <w:szCs w:val="19"/>
        </w:rPr>
        <w:br/>
        <w:t>Hustota úderů blesků do země: 3 na km</w:t>
      </w:r>
      <w:r>
        <w:rPr>
          <w:rFonts w:ascii="Tahoma" w:eastAsia="Times New Roman" w:hAnsi="Tahoma" w:cs="Tahoma"/>
          <w:sz w:val="19"/>
          <w:szCs w:val="19"/>
          <w:vertAlign w:val="superscript"/>
        </w:rPr>
        <w:t>2</w:t>
      </w:r>
      <w:r>
        <w:rPr>
          <w:rFonts w:ascii="Tahoma" w:eastAsia="Times New Roman" w:hAnsi="Tahoma" w:cs="Tahoma"/>
          <w:sz w:val="19"/>
          <w:szCs w:val="19"/>
        </w:rPr>
        <w:t>  </w:t>
      </w:r>
      <w:r>
        <w:rPr>
          <w:rFonts w:ascii="Tahoma" w:eastAsia="Times New Roman" w:hAnsi="Tahoma" w:cs="Tahoma"/>
          <w:sz w:val="19"/>
          <w:szCs w:val="19"/>
        </w:rPr>
        <w:t>za rok</w:t>
      </w:r>
    </w:p>
    <w:p w:rsidR="00000000" w:rsidRDefault="00904F06">
      <w:pPr>
        <w:pStyle w:val="Nadpis2"/>
        <w:spacing w:line="480" w:lineRule="atLeast"/>
        <w:divId w:val="1370375772"/>
        <w:rPr>
          <w:rFonts w:ascii="Tahoma" w:eastAsia="Times New Roman" w:hAnsi="Tahoma" w:cs="Tahoma"/>
          <w:sz w:val="21"/>
          <w:szCs w:val="21"/>
        </w:rPr>
      </w:pPr>
      <w:r>
        <w:rPr>
          <w:rFonts w:ascii="Tahoma" w:eastAsia="Times New Roman" w:hAnsi="Tahoma" w:cs="Tahoma"/>
          <w:sz w:val="21"/>
          <w:szCs w:val="21"/>
        </w:rPr>
        <w:lastRenderedPageBreak/>
        <w:t>Řešení: Nechráněná stavba</w:t>
      </w:r>
    </w:p>
    <w:p w:rsidR="00000000" w:rsidRDefault="00904F06">
      <w:pPr>
        <w:pStyle w:val="Nadpis3"/>
        <w:spacing w:line="480" w:lineRule="atLeast"/>
        <w:divId w:val="1209952754"/>
        <w:rPr>
          <w:rFonts w:ascii="Tahoma" w:eastAsia="Times New Roman" w:hAnsi="Tahoma" w:cs="Tahoma"/>
          <w:sz w:val="19"/>
          <w:szCs w:val="19"/>
        </w:rPr>
      </w:pPr>
      <w:r>
        <w:rPr>
          <w:rFonts w:ascii="Tahoma" w:eastAsia="Times New Roman" w:hAnsi="Tahoma" w:cs="Tahoma"/>
          <w:sz w:val="19"/>
          <w:szCs w:val="19"/>
        </w:rPr>
        <w:t>Silová vedení [S]</w:t>
      </w:r>
    </w:p>
    <w:p w:rsidR="00000000" w:rsidRDefault="00904F06">
      <w:pPr>
        <w:spacing w:line="480" w:lineRule="atLeast"/>
        <w:divId w:val="1209952754"/>
        <w:rPr>
          <w:rFonts w:ascii="Tahoma" w:eastAsia="Times New Roman" w:hAnsi="Tahoma" w:cs="Tahoma"/>
          <w:sz w:val="19"/>
          <w:szCs w:val="19"/>
        </w:rPr>
      </w:pPr>
      <w:r>
        <w:rPr>
          <w:rFonts w:ascii="Tahoma" w:eastAsia="Times New Roman" w:hAnsi="Tahoma" w:cs="Tahoma"/>
          <w:sz w:val="19"/>
          <w:szCs w:val="19"/>
        </w:rPr>
        <w:t>Druh vedení: Silové vedení</w:t>
      </w:r>
    </w:p>
    <w:p w:rsidR="00000000" w:rsidRDefault="00904F06">
      <w:pPr>
        <w:pStyle w:val="Nadpis4"/>
        <w:spacing w:line="480" w:lineRule="atLeast"/>
        <w:divId w:val="1209952754"/>
        <w:rPr>
          <w:rFonts w:ascii="Tahoma" w:eastAsia="Times New Roman" w:hAnsi="Tahoma" w:cs="Tahoma"/>
        </w:rPr>
      </w:pPr>
      <w:r>
        <w:rPr>
          <w:rFonts w:ascii="Tahoma" w:eastAsia="Times New Roman" w:hAnsi="Tahoma" w:cs="Tahoma"/>
        </w:rPr>
        <w:t>VN přívod</w:t>
      </w:r>
    </w:p>
    <w:p w:rsidR="00000000" w:rsidRDefault="00904F06">
      <w:pPr>
        <w:spacing w:line="480" w:lineRule="atLeast"/>
        <w:divId w:val="474881132"/>
        <w:rPr>
          <w:rFonts w:ascii="Tahoma" w:eastAsia="Times New Roman" w:hAnsi="Tahoma" w:cs="Tahoma"/>
          <w:sz w:val="19"/>
          <w:szCs w:val="19"/>
        </w:rPr>
      </w:pPr>
      <w:r>
        <w:rPr>
          <w:rFonts w:ascii="Tahoma" w:eastAsia="Times New Roman" w:hAnsi="Tahoma" w:cs="Tahoma"/>
          <w:sz w:val="19"/>
          <w:szCs w:val="19"/>
        </w:rPr>
        <w:t>Kabelové vedení</w:t>
      </w:r>
      <w:r>
        <w:rPr>
          <w:rFonts w:ascii="Tahoma" w:eastAsia="Times New Roman" w:hAnsi="Tahoma" w:cs="Tahoma"/>
          <w:sz w:val="19"/>
          <w:szCs w:val="19"/>
        </w:rPr>
        <w:br/>
        <w:t>Rezistivita půdy: 400 ?m</w:t>
      </w:r>
      <w:r>
        <w:rPr>
          <w:rFonts w:ascii="Tahoma" w:eastAsia="Times New Roman" w:hAnsi="Tahoma" w:cs="Tahoma"/>
          <w:sz w:val="19"/>
          <w:szCs w:val="19"/>
        </w:rPr>
        <w:br/>
        <w:t>Délka sekce: 1 000 m</w:t>
      </w:r>
      <w:r>
        <w:rPr>
          <w:rFonts w:ascii="Tahoma" w:eastAsia="Times New Roman" w:hAnsi="Tahoma" w:cs="Tahoma"/>
          <w:sz w:val="19"/>
          <w:szCs w:val="19"/>
        </w:rPr>
        <w:br/>
        <w:t>Přítomnost dvovinuťového transformátoru vn/nn C</w:t>
      </w:r>
      <w:r>
        <w:rPr>
          <w:rFonts w:ascii="Tahoma" w:eastAsia="Times New Roman" w:hAnsi="Tahoma" w:cs="Tahoma"/>
          <w:sz w:val="19"/>
          <w:szCs w:val="19"/>
          <w:vertAlign w:val="subscript"/>
        </w:rPr>
        <w:t>T</w:t>
      </w:r>
      <w:r>
        <w:rPr>
          <w:rFonts w:ascii="Tahoma" w:eastAsia="Times New Roman" w:hAnsi="Tahoma" w:cs="Tahoma"/>
          <w:sz w:val="19"/>
          <w:szCs w:val="19"/>
        </w:rPr>
        <w:br/>
      </w:r>
      <w:r>
        <w:rPr>
          <w:rFonts w:ascii="Tahoma" w:eastAsia="Times New Roman" w:hAnsi="Tahoma" w:cs="Tahoma"/>
          <w:sz w:val="19"/>
          <w:szCs w:val="19"/>
        </w:rPr>
        <w:t xml:space="preserve">Činitel prostředí: Městské s vysokými budovami (více než 20 m) </w:t>
      </w:r>
    </w:p>
    <w:p w:rsidR="00000000" w:rsidRDefault="00904F06">
      <w:pPr>
        <w:pStyle w:val="Nadpis4"/>
        <w:spacing w:line="480" w:lineRule="atLeast"/>
        <w:divId w:val="611011783"/>
        <w:rPr>
          <w:rFonts w:ascii="Tahoma" w:eastAsia="Times New Roman" w:hAnsi="Tahoma" w:cs="Tahoma"/>
        </w:rPr>
      </w:pPr>
      <w:r>
        <w:rPr>
          <w:rFonts w:ascii="Tahoma" w:eastAsia="Times New Roman" w:hAnsi="Tahoma" w:cs="Tahoma"/>
        </w:rPr>
        <w:t>Přilehlá stavba (ovlivňuje R</w:t>
      </w:r>
      <w:r>
        <w:rPr>
          <w:rFonts w:ascii="Tahoma" w:eastAsia="Times New Roman" w:hAnsi="Tahoma" w:cs="Tahoma"/>
          <w:vertAlign w:val="subscript"/>
        </w:rPr>
        <w:t>U</w:t>
      </w:r>
      <w:r>
        <w:rPr>
          <w:rFonts w:ascii="Tahoma" w:eastAsia="Times New Roman" w:hAnsi="Tahoma" w:cs="Tahoma"/>
        </w:rPr>
        <w:t>, R</w:t>
      </w:r>
      <w:r>
        <w:rPr>
          <w:rFonts w:ascii="Tahoma" w:eastAsia="Times New Roman" w:hAnsi="Tahoma" w:cs="Tahoma"/>
          <w:vertAlign w:val="subscript"/>
        </w:rPr>
        <w:t>V</w:t>
      </w:r>
      <w:r>
        <w:rPr>
          <w:rFonts w:ascii="Tahoma" w:eastAsia="Times New Roman" w:hAnsi="Tahoma" w:cs="Tahoma"/>
        </w:rPr>
        <w:t>, R</w:t>
      </w:r>
      <w:r>
        <w:rPr>
          <w:rFonts w:ascii="Tahoma" w:eastAsia="Times New Roman" w:hAnsi="Tahoma" w:cs="Tahoma"/>
          <w:vertAlign w:val="subscript"/>
        </w:rPr>
        <w:t>W</w:t>
      </w:r>
      <w:r>
        <w:rPr>
          <w:rFonts w:ascii="Tahoma" w:eastAsia="Times New Roman" w:hAnsi="Tahoma" w:cs="Tahoma"/>
        </w:rPr>
        <w:t>)</w:t>
      </w:r>
    </w:p>
    <w:p w:rsidR="00000000" w:rsidRDefault="00904F06">
      <w:pPr>
        <w:spacing w:line="480" w:lineRule="atLeast"/>
        <w:divId w:val="1989505320"/>
        <w:rPr>
          <w:rFonts w:ascii="Tahoma" w:eastAsia="Times New Roman" w:hAnsi="Tahoma" w:cs="Tahoma"/>
          <w:sz w:val="19"/>
          <w:szCs w:val="19"/>
        </w:rPr>
      </w:pPr>
      <w:r>
        <w:rPr>
          <w:rFonts w:ascii="Tahoma" w:eastAsia="Times New Roman" w:hAnsi="Tahoma" w:cs="Tahoma"/>
          <w:sz w:val="19"/>
          <w:szCs w:val="19"/>
        </w:rPr>
        <w:t>Sběrná plocha A</w:t>
      </w:r>
      <w:r>
        <w:rPr>
          <w:rFonts w:ascii="Tahoma" w:eastAsia="Times New Roman" w:hAnsi="Tahoma" w:cs="Tahoma"/>
          <w:sz w:val="19"/>
          <w:szCs w:val="19"/>
          <w:vertAlign w:val="subscript"/>
        </w:rPr>
        <w:t>DJ</w:t>
      </w:r>
      <w:r>
        <w:rPr>
          <w:rFonts w:ascii="Tahoma" w:eastAsia="Times New Roman" w:hAnsi="Tahoma" w:cs="Tahoma"/>
          <w:sz w:val="19"/>
          <w:szCs w:val="19"/>
        </w:rPr>
        <w:t>: 135 798,0615819341 m</w:t>
      </w:r>
      <w:r>
        <w:rPr>
          <w:rFonts w:ascii="Tahoma" w:eastAsia="Times New Roman" w:hAnsi="Tahoma" w:cs="Tahoma"/>
          <w:sz w:val="19"/>
          <w:szCs w:val="19"/>
          <w:vertAlign w:val="superscript"/>
        </w:rPr>
        <w:t>2</w:t>
      </w:r>
      <w:r>
        <w:rPr>
          <w:rFonts w:ascii="Tahoma" w:eastAsia="Times New Roman" w:hAnsi="Tahoma" w:cs="Tahoma"/>
          <w:sz w:val="19"/>
          <w:szCs w:val="19"/>
        </w:rPr>
        <w:br/>
        <w:t>délka L</w:t>
      </w:r>
      <w:r>
        <w:rPr>
          <w:rFonts w:ascii="Tahoma" w:eastAsia="Times New Roman" w:hAnsi="Tahoma" w:cs="Tahoma"/>
          <w:sz w:val="19"/>
          <w:szCs w:val="19"/>
          <w:vertAlign w:val="subscript"/>
        </w:rPr>
        <w:t>J</w:t>
      </w:r>
      <w:r>
        <w:rPr>
          <w:rFonts w:ascii="Tahoma" w:eastAsia="Times New Roman" w:hAnsi="Tahoma" w:cs="Tahoma"/>
          <w:sz w:val="19"/>
          <w:szCs w:val="19"/>
        </w:rPr>
        <w:t>: 23,7 m</w:t>
      </w:r>
      <w:r>
        <w:rPr>
          <w:rFonts w:ascii="Tahoma" w:eastAsia="Times New Roman" w:hAnsi="Tahoma" w:cs="Tahoma"/>
          <w:sz w:val="19"/>
          <w:szCs w:val="19"/>
        </w:rPr>
        <w:br/>
        <w:t>šířka W</w:t>
      </w:r>
      <w:r>
        <w:rPr>
          <w:rFonts w:ascii="Tahoma" w:eastAsia="Times New Roman" w:hAnsi="Tahoma" w:cs="Tahoma"/>
          <w:sz w:val="19"/>
          <w:szCs w:val="19"/>
          <w:vertAlign w:val="subscript"/>
        </w:rPr>
        <w:t>J</w:t>
      </w:r>
      <w:r>
        <w:rPr>
          <w:rFonts w:ascii="Tahoma" w:eastAsia="Times New Roman" w:hAnsi="Tahoma" w:cs="Tahoma"/>
          <w:sz w:val="19"/>
          <w:szCs w:val="19"/>
        </w:rPr>
        <w:t>: 26,7 m</w:t>
      </w:r>
      <w:r>
        <w:rPr>
          <w:rFonts w:ascii="Tahoma" w:eastAsia="Times New Roman" w:hAnsi="Tahoma" w:cs="Tahoma"/>
          <w:sz w:val="19"/>
          <w:szCs w:val="19"/>
        </w:rPr>
        <w:br/>
        <w:t>výška H</w:t>
      </w:r>
      <w:r>
        <w:rPr>
          <w:rFonts w:ascii="Tahoma" w:eastAsia="Times New Roman" w:hAnsi="Tahoma" w:cs="Tahoma"/>
          <w:sz w:val="19"/>
          <w:szCs w:val="19"/>
          <w:vertAlign w:val="subscript"/>
        </w:rPr>
        <w:t>J</w:t>
      </w:r>
      <w:r>
        <w:rPr>
          <w:rFonts w:ascii="Tahoma" w:eastAsia="Times New Roman" w:hAnsi="Tahoma" w:cs="Tahoma"/>
          <w:sz w:val="19"/>
          <w:szCs w:val="19"/>
        </w:rPr>
        <w:t>: 64 m</w:t>
      </w:r>
      <w:r>
        <w:rPr>
          <w:rFonts w:ascii="Tahoma" w:eastAsia="Times New Roman" w:hAnsi="Tahoma" w:cs="Tahoma"/>
          <w:sz w:val="19"/>
          <w:szCs w:val="19"/>
        </w:rPr>
        <w:br/>
        <w:t>Činitel polohy C</w:t>
      </w:r>
      <w:r>
        <w:rPr>
          <w:rFonts w:ascii="Tahoma" w:eastAsia="Times New Roman" w:hAnsi="Tahoma" w:cs="Tahoma"/>
          <w:sz w:val="19"/>
          <w:szCs w:val="19"/>
          <w:vertAlign w:val="subscript"/>
        </w:rPr>
        <w:t>DA</w:t>
      </w:r>
      <w:r>
        <w:rPr>
          <w:rFonts w:ascii="Tahoma" w:eastAsia="Times New Roman" w:hAnsi="Tahoma" w:cs="Tahoma"/>
          <w:sz w:val="19"/>
          <w:szCs w:val="19"/>
        </w:rPr>
        <w:t>: Objekt obklopen objekty nebo stromy stejné</w:t>
      </w:r>
      <w:r>
        <w:rPr>
          <w:rFonts w:ascii="Tahoma" w:eastAsia="Times New Roman" w:hAnsi="Tahoma" w:cs="Tahoma"/>
          <w:sz w:val="19"/>
          <w:szCs w:val="19"/>
        </w:rPr>
        <w:t xml:space="preserve"> výšky nebo nižšími </w:t>
      </w:r>
    </w:p>
    <w:p w:rsidR="00000000" w:rsidRDefault="00904F06">
      <w:pPr>
        <w:pStyle w:val="Nadpis3"/>
        <w:spacing w:line="480" w:lineRule="atLeast"/>
        <w:divId w:val="1209952754"/>
        <w:rPr>
          <w:rFonts w:ascii="Tahoma" w:eastAsia="Times New Roman" w:hAnsi="Tahoma" w:cs="Tahoma"/>
          <w:sz w:val="19"/>
          <w:szCs w:val="19"/>
        </w:rPr>
      </w:pPr>
      <w:r>
        <w:rPr>
          <w:rFonts w:ascii="Tahoma" w:eastAsia="Times New Roman" w:hAnsi="Tahoma" w:cs="Tahoma"/>
          <w:sz w:val="19"/>
          <w:szCs w:val="19"/>
        </w:rPr>
        <w:t>Telekomunikační vedení [T]</w:t>
      </w:r>
    </w:p>
    <w:p w:rsidR="00000000" w:rsidRDefault="00904F06">
      <w:pPr>
        <w:spacing w:line="480" w:lineRule="atLeast"/>
        <w:divId w:val="1209952754"/>
        <w:rPr>
          <w:rFonts w:ascii="Tahoma" w:eastAsia="Times New Roman" w:hAnsi="Tahoma" w:cs="Tahoma"/>
          <w:sz w:val="19"/>
          <w:szCs w:val="19"/>
        </w:rPr>
      </w:pPr>
      <w:r>
        <w:rPr>
          <w:rFonts w:ascii="Tahoma" w:eastAsia="Times New Roman" w:hAnsi="Tahoma" w:cs="Tahoma"/>
          <w:sz w:val="19"/>
          <w:szCs w:val="19"/>
        </w:rPr>
        <w:t>Druh vedení: Telekomunikační nebo datové vedení</w:t>
      </w:r>
    </w:p>
    <w:p w:rsidR="00000000" w:rsidRDefault="00904F06">
      <w:pPr>
        <w:pStyle w:val="Nadpis4"/>
        <w:spacing w:line="480" w:lineRule="atLeast"/>
        <w:divId w:val="1209952754"/>
        <w:rPr>
          <w:rFonts w:ascii="Tahoma" w:eastAsia="Times New Roman" w:hAnsi="Tahoma" w:cs="Tahoma"/>
        </w:rPr>
      </w:pPr>
      <w:r>
        <w:rPr>
          <w:rFonts w:ascii="Tahoma" w:eastAsia="Times New Roman" w:hAnsi="Tahoma" w:cs="Tahoma"/>
        </w:rPr>
        <w:t>Telefonní kabel (CETIN)</w:t>
      </w:r>
    </w:p>
    <w:p w:rsidR="00000000" w:rsidRDefault="00904F06">
      <w:pPr>
        <w:spacing w:line="480" w:lineRule="atLeast"/>
        <w:divId w:val="2063673048"/>
        <w:rPr>
          <w:rFonts w:ascii="Tahoma" w:eastAsia="Times New Roman" w:hAnsi="Tahoma" w:cs="Tahoma"/>
          <w:sz w:val="19"/>
          <w:szCs w:val="19"/>
        </w:rPr>
      </w:pPr>
      <w:r>
        <w:rPr>
          <w:rFonts w:ascii="Tahoma" w:eastAsia="Times New Roman" w:hAnsi="Tahoma" w:cs="Tahoma"/>
          <w:sz w:val="19"/>
          <w:szCs w:val="19"/>
        </w:rPr>
        <w:t>Kabelové vedení</w:t>
      </w:r>
      <w:r>
        <w:rPr>
          <w:rFonts w:ascii="Tahoma" w:eastAsia="Times New Roman" w:hAnsi="Tahoma" w:cs="Tahoma"/>
          <w:sz w:val="19"/>
          <w:szCs w:val="19"/>
        </w:rPr>
        <w:br/>
        <w:t>Rezistivita půdy: 400 ?m</w:t>
      </w:r>
      <w:r>
        <w:rPr>
          <w:rFonts w:ascii="Tahoma" w:eastAsia="Times New Roman" w:hAnsi="Tahoma" w:cs="Tahoma"/>
          <w:sz w:val="19"/>
          <w:szCs w:val="19"/>
        </w:rPr>
        <w:br/>
      </w:r>
      <w:r>
        <w:rPr>
          <w:rFonts w:ascii="Tahoma" w:eastAsia="Times New Roman" w:hAnsi="Tahoma" w:cs="Tahoma"/>
          <w:sz w:val="19"/>
          <w:szCs w:val="19"/>
        </w:rPr>
        <w:lastRenderedPageBreak/>
        <w:t>Délka sekce: 1 000 m</w:t>
      </w:r>
      <w:r>
        <w:rPr>
          <w:rFonts w:ascii="Tahoma" w:eastAsia="Times New Roman" w:hAnsi="Tahoma" w:cs="Tahoma"/>
          <w:sz w:val="19"/>
          <w:szCs w:val="19"/>
        </w:rPr>
        <w:br/>
        <w:t xml:space="preserve">Činitel prostředí: Městské s vysokými budovami (více než 20 m) </w:t>
      </w:r>
    </w:p>
    <w:p w:rsidR="00000000" w:rsidRDefault="00904F06">
      <w:pPr>
        <w:pStyle w:val="Nadpis4"/>
        <w:spacing w:line="480" w:lineRule="atLeast"/>
        <w:divId w:val="2114860745"/>
        <w:rPr>
          <w:rFonts w:ascii="Tahoma" w:eastAsia="Times New Roman" w:hAnsi="Tahoma" w:cs="Tahoma"/>
        </w:rPr>
      </w:pPr>
      <w:r>
        <w:rPr>
          <w:rFonts w:ascii="Tahoma" w:eastAsia="Times New Roman" w:hAnsi="Tahoma" w:cs="Tahoma"/>
        </w:rPr>
        <w:t>Přilehl</w:t>
      </w:r>
      <w:r>
        <w:rPr>
          <w:rFonts w:ascii="Tahoma" w:eastAsia="Times New Roman" w:hAnsi="Tahoma" w:cs="Tahoma"/>
        </w:rPr>
        <w:t>á stavba (ovlivňuje R</w:t>
      </w:r>
      <w:r>
        <w:rPr>
          <w:rFonts w:ascii="Tahoma" w:eastAsia="Times New Roman" w:hAnsi="Tahoma" w:cs="Tahoma"/>
          <w:vertAlign w:val="subscript"/>
        </w:rPr>
        <w:t>U</w:t>
      </w:r>
      <w:r>
        <w:rPr>
          <w:rFonts w:ascii="Tahoma" w:eastAsia="Times New Roman" w:hAnsi="Tahoma" w:cs="Tahoma"/>
        </w:rPr>
        <w:t>, R</w:t>
      </w:r>
      <w:r>
        <w:rPr>
          <w:rFonts w:ascii="Tahoma" w:eastAsia="Times New Roman" w:hAnsi="Tahoma" w:cs="Tahoma"/>
          <w:vertAlign w:val="subscript"/>
        </w:rPr>
        <w:t>V</w:t>
      </w:r>
      <w:r>
        <w:rPr>
          <w:rFonts w:ascii="Tahoma" w:eastAsia="Times New Roman" w:hAnsi="Tahoma" w:cs="Tahoma"/>
        </w:rPr>
        <w:t>, R</w:t>
      </w:r>
      <w:r>
        <w:rPr>
          <w:rFonts w:ascii="Tahoma" w:eastAsia="Times New Roman" w:hAnsi="Tahoma" w:cs="Tahoma"/>
          <w:vertAlign w:val="subscript"/>
        </w:rPr>
        <w:t>W</w:t>
      </w:r>
      <w:r>
        <w:rPr>
          <w:rFonts w:ascii="Tahoma" w:eastAsia="Times New Roman" w:hAnsi="Tahoma" w:cs="Tahoma"/>
        </w:rPr>
        <w:t>)</w:t>
      </w:r>
    </w:p>
    <w:p w:rsidR="00000000" w:rsidRDefault="00904F06">
      <w:pPr>
        <w:spacing w:line="480" w:lineRule="atLeast"/>
        <w:divId w:val="1307858623"/>
        <w:rPr>
          <w:rFonts w:ascii="Tahoma" w:eastAsia="Times New Roman" w:hAnsi="Tahoma" w:cs="Tahoma"/>
          <w:sz w:val="19"/>
          <w:szCs w:val="19"/>
        </w:rPr>
      </w:pPr>
      <w:r>
        <w:rPr>
          <w:rFonts w:ascii="Tahoma" w:eastAsia="Times New Roman" w:hAnsi="Tahoma" w:cs="Tahoma"/>
          <w:sz w:val="19"/>
          <w:szCs w:val="19"/>
        </w:rPr>
        <w:t>Sběrná plocha A</w:t>
      </w:r>
      <w:r>
        <w:rPr>
          <w:rFonts w:ascii="Tahoma" w:eastAsia="Times New Roman" w:hAnsi="Tahoma" w:cs="Tahoma"/>
          <w:sz w:val="19"/>
          <w:szCs w:val="19"/>
          <w:vertAlign w:val="subscript"/>
        </w:rPr>
        <w:t>DJ</w:t>
      </w:r>
      <w:r>
        <w:rPr>
          <w:rFonts w:ascii="Tahoma" w:eastAsia="Times New Roman" w:hAnsi="Tahoma" w:cs="Tahoma"/>
          <w:sz w:val="19"/>
          <w:szCs w:val="19"/>
        </w:rPr>
        <w:t>: 135 798,0615819341 m</w:t>
      </w:r>
      <w:r>
        <w:rPr>
          <w:rFonts w:ascii="Tahoma" w:eastAsia="Times New Roman" w:hAnsi="Tahoma" w:cs="Tahoma"/>
          <w:sz w:val="19"/>
          <w:szCs w:val="19"/>
          <w:vertAlign w:val="superscript"/>
        </w:rPr>
        <w:t>2</w:t>
      </w:r>
      <w:r>
        <w:rPr>
          <w:rFonts w:ascii="Tahoma" w:eastAsia="Times New Roman" w:hAnsi="Tahoma" w:cs="Tahoma"/>
          <w:sz w:val="19"/>
          <w:szCs w:val="19"/>
        </w:rPr>
        <w:br/>
        <w:t>délka L</w:t>
      </w:r>
      <w:r>
        <w:rPr>
          <w:rFonts w:ascii="Tahoma" w:eastAsia="Times New Roman" w:hAnsi="Tahoma" w:cs="Tahoma"/>
          <w:sz w:val="19"/>
          <w:szCs w:val="19"/>
          <w:vertAlign w:val="subscript"/>
        </w:rPr>
        <w:t>J</w:t>
      </w:r>
      <w:r>
        <w:rPr>
          <w:rFonts w:ascii="Tahoma" w:eastAsia="Times New Roman" w:hAnsi="Tahoma" w:cs="Tahoma"/>
          <w:sz w:val="19"/>
          <w:szCs w:val="19"/>
        </w:rPr>
        <w:t>: 23,7 m</w:t>
      </w:r>
      <w:r>
        <w:rPr>
          <w:rFonts w:ascii="Tahoma" w:eastAsia="Times New Roman" w:hAnsi="Tahoma" w:cs="Tahoma"/>
          <w:sz w:val="19"/>
          <w:szCs w:val="19"/>
        </w:rPr>
        <w:br/>
        <w:t>šířka W</w:t>
      </w:r>
      <w:r>
        <w:rPr>
          <w:rFonts w:ascii="Tahoma" w:eastAsia="Times New Roman" w:hAnsi="Tahoma" w:cs="Tahoma"/>
          <w:sz w:val="19"/>
          <w:szCs w:val="19"/>
          <w:vertAlign w:val="subscript"/>
        </w:rPr>
        <w:t>J</w:t>
      </w:r>
      <w:r>
        <w:rPr>
          <w:rFonts w:ascii="Tahoma" w:eastAsia="Times New Roman" w:hAnsi="Tahoma" w:cs="Tahoma"/>
          <w:sz w:val="19"/>
          <w:szCs w:val="19"/>
        </w:rPr>
        <w:t>: 26,7 m</w:t>
      </w:r>
      <w:r>
        <w:rPr>
          <w:rFonts w:ascii="Tahoma" w:eastAsia="Times New Roman" w:hAnsi="Tahoma" w:cs="Tahoma"/>
          <w:sz w:val="19"/>
          <w:szCs w:val="19"/>
        </w:rPr>
        <w:br/>
        <w:t>výška H</w:t>
      </w:r>
      <w:r>
        <w:rPr>
          <w:rFonts w:ascii="Tahoma" w:eastAsia="Times New Roman" w:hAnsi="Tahoma" w:cs="Tahoma"/>
          <w:sz w:val="19"/>
          <w:szCs w:val="19"/>
          <w:vertAlign w:val="subscript"/>
        </w:rPr>
        <w:t>J</w:t>
      </w:r>
      <w:r>
        <w:rPr>
          <w:rFonts w:ascii="Tahoma" w:eastAsia="Times New Roman" w:hAnsi="Tahoma" w:cs="Tahoma"/>
          <w:sz w:val="19"/>
          <w:szCs w:val="19"/>
        </w:rPr>
        <w:t>: 64 m</w:t>
      </w:r>
      <w:r>
        <w:rPr>
          <w:rFonts w:ascii="Tahoma" w:eastAsia="Times New Roman" w:hAnsi="Tahoma" w:cs="Tahoma"/>
          <w:sz w:val="19"/>
          <w:szCs w:val="19"/>
        </w:rPr>
        <w:br/>
        <w:t>Činitel polohy C</w:t>
      </w:r>
      <w:r>
        <w:rPr>
          <w:rFonts w:ascii="Tahoma" w:eastAsia="Times New Roman" w:hAnsi="Tahoma" w:cs="Tahoma"/>
          <w:sz w:val="19"/>
          <w:szCs w:val="19"/>
          <w:vertAlign w:val="subscript"/>
        </w:rPr>
        <w:t>DA</w:t>
      </w:r>
      <w:r>
        <w:rPr>
          <w:rFonts w:ascii="Tahoma" w:eastAsia="Times New Roman" w:hAnsi="Tahoma" w:cs="Tahoma"/>
          <w:sz w:val="19"/>
          <w:szCs w:val="19"/>
        </w:rPr>
        <w:t xml:space="preserve">: Osamocený objekt, žádné jiné objekty v sousedství </w:t>
      </w:r>
    </w:p>
    <w:p w:rsidR="00000000" w:rsidRDefault="00904F06">
      <w:pPr>
        <w:pStyle w:val="Nadpis3"/>
        <w:spacing w:line="480" w:lineRule="atLeast"/>
        <w:divId w:val="1209952754"/>
        <w:rPr>
          <w:rFonts w:ascii="Tahoma" w:eastAsia="Times New Roman" w:hAnsi="Tahoma" w:cs="Tahoma"/>
          <w:sz w:val="19"/>
          <w:szCs w:val="19"/>
        </w:rPr>
      </w:pPr>
      <w:r>
        <w:rPr>
          <w:rFonts w:ascii="Tahoma" w:eastAsia="Times New Roman" w:hAnsi="Tahoma" w:cs="Tahoma"/>
          <w:sz w:val="19"/>
          <w:szCs w:val="19"/>
        </w:rPr>
        <w:t>Datové vedení [T]</w:t>
      </w:r>
    </w:p>
    <w:p w:rsidR="00000000" w:rsidRDefault="00904F06">
      <w:pPr>
        <w:spacing w:line="480" w:lineRule="atLeast"/>
        <w:divId w:val="1209952754"/>
        <w:rPr>
          <w:rFonts w:ascii="Tahoma" w:eastAsia="Times New Roman" w:hAnsi="Tahoma" w:cs="Tahoma"/>
          <w:sz w:val="19"/>
          <w:szCs w:val="19"/>
        </w:rPr>
      </w:pPr>
      <w:r>
        <w:rPr>
          <w:rFonts w:ascii="Tahoma" w:eastAsia="Times New Roman" w:hAnsi="Tahoma" w:cs="Tahoma"/>
          <w:sz w:val="19"/>
          <w:szCs w:val="19"/>
        </w:rPr>
        <w:t>Druh vedení: Telekomunikační nebo datové ved</w:t>
      </w:r>
      <w:r>
        <w:rPr>
          <w:rFonts w:ascii="Tahoma" w:eastAsia="Times New Roman" w:hAnsi="Tahoma" w:cs="Tahoma"/>
          <w:sz w:val="19"/>
          <w:szCs w:val="19"/>
        </w:rPr>
        <w:t>ení</w:t>
      </w:r>
    </w:p>
    <w:p w:rsidR="00000000" w:rsidRDefault="00904F06">
      <w:pPr>
        <w:pStyle w:val="Nadpis4"/>
        <w:spacing w:line="480" w:lineRule="atLeast"/>
        <w:divId w:val="1209952754"/>
        <w:rPr>
          <w:rFonts w:ascii="Tahoma" w:eastAsia="Times New Roman" w:hAnsi="Tahoma" w:cs="Tahoma"/>
        </w:rPr>
      </w:pPr>
      <w:r>
        <w:rPr>
          <w:rFonts w:ascii="Tahoma" w:eastAsia="Times New Roman" w:hAnsi="Tahoma" w:cs="Tahoma"/>
        </w:rPr>
        <w:t>Kabelová TV</w:t>
      </w:r>
    </w:p>
    <w:p w:rsidR="00000000" w:rsidRDefault="00904F06">
      <w:pPr>
        <w:spacing w:line="480" w:lineRule="atLeast"/>
        <w:divId w:val="1575971679"/>
        <w:rPr>
          <w:rFonts w:ascii="Tahoma" w:eastAsia="Times New Roman" w:hAnsi="Tahoma" w:cs="Tahoma"/>
          <w:sz w:val="19"/>
          <w:szCs w:val="19"/>
        </w:rPr>
      </w:pPr>
      <w:r>
        <w:rPr>
          <w:rFonts w:ascii="Tahoma" w:eastAsia="Times New Roman" w:hAnsi="Tahoma" w:cs="Tahoma"/>
          <w:sz w:val="19"/>
          <w:szCs w:val="19"/>
        </w:rPr>
        <w:t>Kabelové vedení</w:t>
      </w:r>
      <w:r>
        <w:rPr>
          <w:rFonts w:ascii="Tahoma" w:eastAsia="Times New Roman" w:hAnsi="Tahoma" w:cs="Tahoma"/>
          <w:sz w:val="19"/>
          <w:szCs w:val="19"/>
        </w:rPr>
        <w:br/>
        <w:t>Rezistivita půdy: 400 ?m</w:t>
      </w:r>
      <w:r>
        <w:rPr>
          <w:rFonts w:ascii="Tahoma" w:eastAsia="Times New Roman" w:hAnsi="Tahoma" w:cs="Tahoma"/>
          <w:sz w:val="19"/>
          <w:szCs w:val="19"/>
        </w:rPr>
        <w:br/>
        <w:t>Délka sekce: 1 000 m</w:t>
      </w:r>
      <w:r>
        <w:rPr>
          <w:rFonts w:ascii="Tahoma" w:eastAsia="Times New Roman" w:hAnsi="Tahoma" w:cs="Tahoma"/>
          <w:sz w:val="19"/>
          <w:szCs w:val="19"/>
        </w:rPr>
        <w:br/>
        <w:t xml:space="preserve">Činitel prostředí: Městské s vysokými budovami (více než 20 m) </w:t>
      </w:r>
    </w:p>
    <w:p w:rsidR="00000000" w:rsidRDefault="00904F06">
      <w:pPr>
        <w:pStyle w:val="Nadpis4"/>
        <w:spacing w:line="480" w:lineRule="atLeast"/>
        <w:divId w:val="1888951021"/>
        <w:rPr>
          <w:rFonts w:ascii="Tahoma" w:eastAsia="Times New Roman" w:hAnsi="Tahoma" w:cs="Tahoma"/>
        </w:rPr>
      </w:pPr>
      <w:r>
        <w:rPr>
          <w:rFonts w:ascii="Tahoma" w:eastAsia="Times New Roman" w:hAnsi="Tahoma" w:cs="Tahoma"/>
        </w:rPr>
        <w:t>Přilehlá stavba (ovlivňuje R</w:t>
      </w:r>
      <w:r>
        <w:rPr>
          <w:rFonts w:ascii="Tahoma" w:eastAsia="Times New Roman" w:hAnsi="Tahoma" w:cs="Tahoma"/>
          <w:vertAlign w:val="subscript"/>
        </w:rPr>
        <w:t>U</w:t>
      </w:r>
      <w:r>
        <w:rPr>
          <w:rFonts w:ascii="Tahoma" w:eastAsia="Times New Roman" w:hAnsi="Tahoma" w:cs="Tahoma"/>
        </w:rPr>
        <w:t>, R</w:t>
      </w:r>
      <w:r>
        <w:rPr>
          <w:rFonts w:ascii="Tahoma" w:eastAsia="Times New Roman" w:hAnsi="Tahoma" w:cs="Tahoma"/>
          <w:vertAlign w:val="subscript"/>
        </w:rPr>
        <w:t>V</w:t>
      </w:r>
      <w:r>
        <w:rPr>
          <w:rFonts w:ascii="Tahoma" w:eastAsia="Times New Roman" w:hAnsi="Tahoma" w:cs="Tahoma"/>
        </w:rPr>
        <w:t>, R</w:t>
      </w:r>
      <w:r>
        <w:rPr>
          <w:rFonts w:ascii="Tahoma" w:eastAsia="Times New Roman" w:hAnsi="Tahoma" w:cs="Tahoma"/>
          <w:vertAlign w:val="subscript"/>
        </w:rPr>
        <w:t>W</w:t>
      </w:r>
      <w:r>
        <w:rPr>
          <w:rFonts w:ascii="Tahoma" w:eastAsia="Times New Roman" w:hAnsi="Tahoma" w:cs="Tahoma"/>
        </w:rPr>
        <w:t>)</w:t>
      </w:r>
    </w:p>
    <w:p w:rsidR="00000000" w:rsidRDefault="00904F06">
      <w:pPr>
        <w:spacing w:line="480" w:lineRule="atLeast"/>
        <w:divId w:val="1199855808"/>
        <w:rPr>
          <w:rFonts w:ascii="Tahoma" w:eastAsia="Times New Roman" w:hAnsi="Tahoma" w:cs="Tahoma"/>
          <w:sz w:val="19"/>
          <w:szCs w:val="19"/>
        </w:rPr>
      </w:pPr>
      <w:r>
        <w:rPr>
          <w:rFonts w:ascii="Tahoma" w:eastAsia="Times New Roman" w:hAnsi="Tahoma" w:cs="Tahoma"/>
          <w:sz w:val="19"/>
          <w:szCs w:val="19"/>
        </w:rPr>
        <w:t>Sběrná plocha A</w:t>
      </w:r>
      <w:r>
        <w:rPr>
          <w:rFonts w:ascii="Tahoma" w:eastAsia="Times New Roman" w:hAnsi="Tahoma" w:cs="Tahoma"/>
          <w:sz w:val="19"/>
          <w:szCs w:val="19"/>
          <w:vertAlign w:val="subscript"/>
        </w:rPr>
        <w:t>DJ</w:t>
      </w:r>
      <w:r>
        <w:rPr>
          <w:rFonts w:ascii="Tahoma" w:eastAsia="Times New Roman" w:hAnsi="Tahoma" w:cs="Tahoma"/>
          <w:sz w:val="19"/>
          <w:szCs w:val="19"/>
        </w:rPr>
        <w:t>: 135 798,0615819341 m</w:t>
      </w:r>
      <w:r>
        <w:rPr>
          <w:rFonts w:ascii="Tahoma" w:eastAsia="Times New Roman" w:hAnsi="Tahoma" w:cs="Tahoma"/>
          <w:sz w:val="19"/>
          <w:szCs w:val="19"/>
          <w:vertAlign w:val="superscript"/>
        </w:rPr>
        <w:t>2</w:t>
      </w:r>
      <w:r>
        <w:rPr>
          <w:rFonts w:ascii="Tahoma" w:eastAsia="Times New Roman" w:hAnsi="Tahoma" w:cs="Tahoma"/>
          <w:sz w:val="19"/>
          <w:szCs w:val="19"/>
        </w:rPr>
        <w:br/>
        <w:t>délka L</w:t>
      </w:r>
      <w:r>
        <w:rPr>
          <w:rFonts w:ascii="Tahoma" w:eastAsia="Times New Roman" w:hAnsi="Tahoma" w:cs="Tahoma"/>
          <w:sz w:val="19"/>
          <w:szCs w:val="19"/>
          <w:vertAlign w:val="subscript"/>
        </w:rPr>
        <w:t>J</w:t>
      </w:r>
      <w:r>
        <w:rPr>
          <w:rFonts w:ascii="Tahoma" w:eastAsia="Times New Roman" w:hAnsi="Tahoma" w:cs="Tahoma"/>
          <w:sz w:val="19"/>
          <w:szCs w:val="19"/>
        </w:rPr>
        <w:t>: 23,7 m</w:t>
      </w:r>
      <w:r>
        <w:rPr>
          <w:rFonts w:ascii="Tahoma" w:eastAsia="Times New Roman" w:hAnsi="Tahoma" w:cs="Tahoma"/>
          <w:sz w:val="19"/>
          <w:szCs w:val="19"/>
        </w:rPr>
        <w:br/>
        <w:t>šířka W</w:t>
      </w:r>
      <w:r>
        <w:rPr>
          <w:rFonts w:ascii="Tahoma" w:eastAsia="Times New Roman" w:hAnsi="Tahoma" w:cs="Tahoma"/>
          <w:sz w:val="19"/>
          <w:szCs w:val="19"/>
          <w:vertAlign w:val="subscript"/>
        </w:rPr>
        <w:t>J</w:t>
      </w:r>
      <w:r>
        <w:rPr>
          <w:rFonts w:ascii="Tahoma" w:eastAsia="Times New Roman" w:hAnsi="Tahoma" w:cs="Tahoma"/>
          <w:sz w:val="19"/>
          <w:szCs w:val="19"/>
        </w:rPr>
        <w:t>: 26,7 m</w:t>
      </w:r>
      <w:r>
        <w:rPr>
          <w:rFonts w:ascii="Tahoma" w:eastAsia="Times New Roman" w:hAnsi="Tahoma" w:cs="Tahoma"/>
          <w:sz w:val="19"/>
          <w:szCs w:val="19"/>
        </w:rPr>
        <w:br/>
        <w:t>výška H</w:t>
      </w:r>
      <w:r>
        <w:rPr>
          <w:rFonts w:ascii="Tahoma" w:eastAsia="Times New Roman" w:hAnsi="Tahoma" w:cs="Tahoma"/>
          <w:sz w:val="19"/>
          <w:szCs w:val="19"/>
          <w:vertAlign w:val="subscript"/>
        </w:rPr>
        <w:t>J</w:t>
      </w:r>
      <w:r>
        <w:rPr>
          <w:rFonts w:ascii="Tahoma" w:eastAsia="Times New Roman" w:hAnsi="Tahoma" w:cs="Tahoma"/>
          <w:sz w:val="19"/>
          <w:szCs w:val="19"/>
        </w:rPr>
        <w:t>: 64 m</w:t>
      </w:r>
      <w:r>
        <w:rPr>
          <w:rFonts w:ascii="Tahoma" w:eastAsia="Times New Roman" w:hAnsi="Tahoma" w:cs="Tahoma"/>
          <w:sz w:val="19"/>
          <w:szCs w:val="19"/>
        </w:rPr>
        <w:br/>
        <w:t>Činitel polohy C</w:t>
      </w:r>
      <w:r>
        <w:rPr>
          <w:rFonts w:ascii="Tahoma" w:eastAsia="Times New Roman" w:hAnsi="Tahoma" w:cs="Tahoma"/>
          <w:sz w:val="19"/>
          <w:szCs w:val="19"/>
          <w:vertAlign w:val="subscript"/>
        </w:rPr>
        <w:t>DA</w:t>
      </w:r>
      <w:r>
        <w:rPr>
          <w:rFonts w:ascii="Tahoma" w:eastAsia="Times New Roman" w:hAnsi="Tahoma" w:cs="Tahoma"/>
          <w:sz w:val="19"/>
          <w:szCs w:val="19"/>
        </w:rPr>
        <w:t xml:space="preserve">: Osamocený objekt, žádné jiné objekty v sousedství </w:t>
      </w:r>
    </w:p>
    <w:p w:rsidR="00000000" w:rsidRDefault="00904F06">
      <w:pPr>
        <w:pStyle w:val="Nadpis3"/>
        <w:spacing w:line="480" w:lineRule="atLeast"/>
        <w:divId w:val="1209952754"/>
        <w:rPr>
          <w:rFonts w:ascii="Tahoma" w:eastAsia="Times New Roman" w:hAnsi="Tahoma" w:cs="Tahoma"/>
          <w:sz w:val="19"/>
          <w:szCs w:val="19"/>
        </w:rPr>
      </w:pPr>
      <w:r>
        <w:rPr>
          <w:rFonts w:ascii="Tahoma" w:eastAsia="Times New Roman" w:hAnsi="Tahoma" w:cs="Tahoma"/>
          <w:sz w:val="19"/>
          <w:szCs w:val="19"/>
        </w:rPr>
        <w:t>LPZ</w:t>
      </w:r>
    </w:p>
    <w:p w:rsidR="00000000" w:rsidRDefault="00904F06">
      <w:pPr>
        <w:spacing w:after="240" w:line="480" w:lineRule="atLeast"/>
        <w:divId w:val="1209952754"/>
        <w:rPr>
          <w:rFonts w:ascii="Tahoma" w:eastAsia="Times New Roman" w:hAnsi="Tahoma" w:cs="Tahoma"/>
          <w:sz w:val="19"/>
          <w:szCs w:val="19"/>
        </w:rPr>
      </w:pPr>
      <w:r>
        <w:rPr>
          <w:rFonts w:ascii="Tahoma" w:eastAsia="Times New Roman" w:hAnsi="Tahoma" w:cs="Tahoma"/>
          <w:sz w:val="19"/>
          <w:szCs w:val="19"/>
        </w:rPr>
        <w:lastRenderedPageBreak/>
        <w:t>LPS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C</w:t>
      </w:r>
      <w:r>
        <w:rPr>
          <w:rFonts w:ascii="Tahoma" w:eastAsia="Times New Roman" w:hAnsi="Tahoma" w:cs="Tahoma"/>
          <w:sz w:val="19"/>
          <w:szCs w:val="19"/>
        </w:rPr>
        <w:t xml:space="preserve">): LPS II </w:t>
      </w:r>
      <w:r>
        <w:rPr>
          <w:rFonts w:ascii="Tahoma" w:eastAsia="Times New Roman" w:hAnsi="Tahoma" w:cs="Tahoma"/>
          <w:sz w:val="19"/>
          <w:szCs w:val="19"/>
        </w:rPr>
        <w:br/>
        <w:t>SPD na vstupu: LPL II</w:t>
      </w:r>
      <w:r>
        <w:rPr>
          <w:rFonts w:ascii="Tahoma" w:eastAsia="Times New Roman" w:hAnsi="Tahoma" w:cs="Tahoma"/>
          <w:sz w:val="19"/>
          <w:szCs w:val="19"/>
        </w:rPr>
        <w:br/>
        <w:t>Pro vnitřní ochranu je navržena ochrana SPD v souladu s ČSN EN 62 305 a ČSN EN 61643-11 výrobce Ha</w:t>
      </w:r>
      <w:r>
        <w:rPr>
          <w:rFonts w:ascii="Tahoma" w:eastAsia="Times New Roman" w:hAnsi="Tahoma" w:cs="Tahoma"/>
          <w:sz w:val="19"/>
          <w:szCs w:val="19"/>
        </w:rPr>
        <w:t>kel spol. s r.o.</w:t>
      </w:r>
      <w:r>
        <w:rPr>
          <w:rFonts w:ascii="Tahoma" w:eastAsia="Times New Roman" w:hAnsi="Tahoma" w:cs="Tahoma"/>
          <w:sz w:val="19"/>
          <w:szCs w:val="19"/>
        </w:rPr>
        <w:br/>
        <w:t>Návrh konkrétních přístrojů v závislosti na typu sítě:</w:t>
      </w:r>
      <w:r>
        <w:rPr>
          <w:rFonts w:ascii="Tahoma" w:eastAsia="Times New Roman" w:hAnsi="Tahoma" w:cs="Tahoma"/>
          <w:sz w:val="19"/>
          <w:szCs w:val="19"/>
        </w:rPr>
        <w:br/>
        <w:t>3-FÁZOVÁ TN-C: SPC25/3+0</w:t>
      </w:r>
      <w:r>
        <w:rPr>
          <w:rFonts w:ascii="Tahoma" w:eastAsia="Times New Roman" w:hAnsi="Tahoma" w:cs="Tahoma"/>
          <w:sz w:val="19"/>
          <w:szCs w:val="19"/>
        </w:rPr>
        <w:br/>
        <w:t>3-FÁZOVÁ TN-C: SPC25/3+1</w:t>
      </w:r>
    </w:p>
    <w:p w:rsidR="00000000" w:rsidRDefault="00904F06">
      <w:pPr>
        <w:pStyle w:val="Nadpis3"/>
        <w:spacing w:line="480" w:lineRule="atLeast"/>
        <w:divId w:val="1209952754"/>
        <w:rPr>
          <w:rFonts w:ascii="Tahoma" w:eastAsia="Times New Roman" w:hAnsi="Tahoma" w:cs="Tahoma"/>
          <w:sz w:val="19"/>
          <w:szCs w:val="19"/>
        </w:rPr>
      </w:pPr>
      <w:r>
        <w:rPr>
          <w:rFonts w:ascii="Tahoma" w:eastAsia="Times New Roman" w:hAnsi="Tahoma" w:cs="Tahoma"/>
          <w:sz w:val="19"/>
          <w:szCs w:val="19"/>
        </w:rPr>
        <w:t>Zóny</w:t>
      </w:r>
    </w:p>
    <w:p w:rsidR="00000000" w:rsidRDefault="00904F06">
      <w:pPr>
        <w:pStyle w:val="Nadpis4"/>
        <w:spacing w:line="480" w:lineRule="atLeast"/>
        <w:divId w:val="1272400474"/>
        <w:rPr>
          <w:rFonts w:ascii="Tahoma" w:eastAsia="Times New Roman" w:hAnsi="Tahoma" w:cs="Tahoma"/>
        </w:rPr>
      </w:pPr>
      <w:r>
        <w:rPr>
          <w:rFonts w:ascii="Tahoma" w:eastAsia="Times New Roman" w:hAnsi="Tahoma" w:cs="Tahoma"/>
        </w:rPr>
        <w:t>23.NP - klima jednotky</w:t>
      </w:r>
    </w:p>
    <w:p w:rsidR="00000000" w:rsidRDefault="00904F06">
      <w:pPr>
        <w:spacing w:line="480" w:lineRule="atLeast"/>
        <w:divId w:val="429157068"/>
        <w:rPr>
          <w:rFonts w:ascii="Tahoma" w:eastAsia="Times New Roman" w:hAnsi="Tahoma" w:cs="Tahoma"/>
          <w:sz w:val="19"/>
          <w:szCs w:val="19"/>
        </w:rPr>
      </w:pPr>
      <w:r>
        <w:rPr>
          <w:rFonts w:ascii="Tahoma" w:eastAsia="Times New Roman" w:hAnsi="Tahoma" w:cs="Tahoma"/>
          <w:sz w:val="19"/>
          <w:szCs w:val="19"/>
        </w:rPr>
        <w:t>Riziko požáru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Obvyklé (400 MJ/m2 &lt; měrné požární zatížení &lt; 800 MJ/m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Opatření ke</w:t>
      </w:r>
      <w:r>
        <w:rPr>
          <w:rFonts w:ascii="Tahoma" w:eastAsia="Times New Roman" w:hAnsi="Tahoma" w:cs="Tahoma"/>
          <w:sz w:val="19"/>
          <w:szCs w:val="19"/>
        </w:rPr>
        <w:t xml:space="preserve"> zmenšení následků požáru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w:t>
      </w:r>
    </w:p>
    <w:p w:rsidR="00000000" w:rsidRDefault="00904F06">
      <w:pPr>
        <w:spacing w:line="480" w:lineRule="atLeast"/>
        <w:divId w:val="326906379"/>
        <w:rPr>
          <w:rFonts w:ascii="Tahoma" w:eastAsia="Times New Roman" w:hAnsi="Tahoma" w:cs="Tahoma"/>
          <w:sz w:val="19"/>
          <w:szCs w:val="19"/>
        </w:rPr>
      </w:pPr>
      <w:r>
        <w:rPr>
          <w:rFonts w:ascii="Tahoma" w:eastAsia="Times New Roman" w:hAnsi="Tahoma" w:cs="Tahoma"/>
          <w:sz w:val="19"/>
          <w:szCs w:val="19"/>
        </w:rPr>
        <w:t>Jedno z následujících: hasicí přístroje, pevná ručně ovládaná hasicí instalace,ruční poplachové instalace, hydranty, ohnivzdorné úseky, chráněné únikové cesty</w:t>
      </w:r>
    </w:p>
    <w:p w:rsidR="00000000" w:rsidRDefault="00904F06">
      <w:pPr>
        <w:spacing w:line="480" w:lineRule="atLeast"/>
        <w:divId w:val="429157068"/>
        <w:rPr>
          <w:rFonts w:ascii="Tahoma" w:eastAsia="Times New Roman" w:hAnsi="Tahoma" w:cs="Tahoma"/>
          <w:sz w:val="19"/>
          <w:szCs w:val="19"/>
        </w:rPr>
      </w:pPr>
      <w:r>
        <w:rPr>
          <w:rFonts w:ascii="Tahoma" w:eastAsia="Times New Roman" w:hAnsi="Tahoma" w:cs="Tahoma"/>
          <w:sz w:val="19"/>
          <w:szCs w:val="19"/>
        </w:rPr>
        <w:t>Druh zvláštního rizika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xml:space="preserve">): Žádné </w:t>
      </w:r>
      <w:r>
        <w:rPr>
          <w:rFonts w:ascii="Tahoma" w:eastAsia="Times New Roman" w:hAnsi="Tahoma" w:cs="Tahoma"/>
          <w:sz w:val="19"/>
          <w:szCs w:val="19"/>
        </w:rPr>
        <w:t xml:space="preserve">zvláštní riziko </w:t>
      </w:r>
      <w:r>
        <w:rPr>
          <w:rFonts w:ascii="Tahoma" w:eastAsia="Times New Roman" w:hAnsi="Tahoma" w:cs="Tahoma"/>
          <w:sz w:val="19"/>
          <w:szCs w:val="19"/>
        </w:rPr>
        <w:br/>
        <w:t>Ochrannná opatření proti úrazu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w:t>
      </w:r>
    </w:p>
    <w:p w:rsidR="00000000" w:rsidRDefault="00904F06">
      <w:pPr>
        <w:spacing w:line="480" w:lineRule="atLeast"/>
        <w:divId w:val="1638488878"/>
        <w:rPr>
          <w:rFonts w:ascii="Tahoma" w:eastAsia="Times New Roman" w:hAnsi="Tahoma" w:cs="Tahoma"/>
          <w:sz w:val="19"/>
          <w:szCs w:val="19"/>
        </w:rPr>
      </w:pPr>
      <w:r>
        <w:rPr>
          <w:rFonts w:ascii="Tahoma" w:eastAsia="Times New Roman" w:hAnsi="Tahoma" w:cs="Tahoma"/>
          <w:sz w:val="19"/>
          <w:szCs w:val="19"/>
        </w:rPr>
        <w:t>Účinné ekvipotenciální propojení v půdě (ovlivňuje pouze R</w:t>
      </w:r>
      <w:r>
        <w:rPr>
          <w:rFonts w:ascii="Tahoma" w:eastAsia="Times New Roman" w:hAnsi="Tahoma" w:cs="Tahoma"/>
          <w:sz w:val="19"/>
          <w:szCs w:val="19"/>
          <w:vertAlign w:val="subscript"/>
        </w:rPr>
        <w:t>A</w:t>
      </w:r>
      <w:r>
        <w:rPr>
          <w:rFonts w:ascii="Tahoma" w:eastAsia="Times New Roman" w:hAnsi="Tahoma" w:cs="Tahoma"/>
          <w:sz w:val="19"/>
          <w:szCs w:val="19"/>
        </w:rPr>
        <w:t xml:space="preserve"> )</w:t>
      </w:r>
      <w:r>
        <w:rPr>
          <w:rFonts w:ascii="Tahoma" w:eastAsia="Times New Roman" w:hAnsi="Tahoma" w:cs="Tahoma"/>
          <w:sz w:val="19"/>
          <w:szCs w:val="19"/>
        </w:rPr>
        <w:br/>
        <w:t>Fyzická omezení nebo konstrukce budovy použitá jako soustava svodů</w:t>
      </w:r>
    </w:p>
    <w:p w:rsidR="00000000" w:rsidRDefault="00904F06">
      <w:pPr>
        <w:spacing w:line="480" w:lineRule="atLeast"/>
        <w:divId w:val="429157068"/>
        <w:rPr>
          <w:rFonts w:ascii="Tahoma" w:eastAsia="Times New Roman" w:hAnsi="Tahoma" w:cs="Tahoma"/>
          <w:sz w:val="19"/>
          <w:szCs w:val="19"/>
        </w:rPr>
      </w:pPr>
      <w:r>
        <w:rPr>
          <w:rFonts w:ascii="Tahoma" w:eastAsia="Times New Roman" w:hAnsi="Tahoma" w:cs="Tahoma"/>
          <w:sz w:val="19"/>
          <w:szCs w:val="19"/>
        </w:rPr>
        <w:t>Typ podlahy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 Dotykový odpor &gt; 100 kOhm</w:t>
      </w:r>
      <w:r>
        <w:rPr>
          <w:rFonts w:ascii="Tahoma" w:eastAsia="Times New Roman" w:hAnsi="Tahoma" w:cs="Tahoma"/>
          <w:sz w:val="19"/>
          <w:szCs w:val="19"/>
        </w:rPr>
        <w:t xml:space="preserve"> (Asfalt, linoleum, dřevo) </w:t>
      </w:r>
    </w:p>
    <w:p w:rsidR="00000000" w:rsidRDefault="00904F06">
      <w:pPr>
        <w:pStyle w:val="Nadpis4"/>
        <w:spacing w:line="480" w:lineRule="atLeast"/>
        <w:divId w:val="1274753215"/>
        <w:rPr>
          <w:rFonts w:ascii="Tahoma" w:eastAsia="Times New Roman" w:hAnsi="Tahoma" w:cs="Tahoma"/>
        </w:rPr>
      </w:pPr>
      <w:r>
        <w:rPr>
          <w:rFonts w:ascii="Tahoma" w:eastAsia="Times New Roman" w:hAnsi="Tahoma" w:cs="Tahoma"/>
        </w:rPr>
        <w:t>Vnitřní prostory LPZ1</w:t>
      </w:r>
    </w:p>
    <w:p w:rsidR="00000000" w:rsidRDefault="00904F06">
      <w:pPr>
        <w:spacing w:line="480" w:lineRule="atLeast"/>
        <w:divId w:val="803158672"/>
        <w:rPr>
          <w:rFonts w:ascii="Tahoma" w:eastAsia="Times New Roman" w:hAnsi="Tahoma" w:cs="Tahoma"/>
          <w:sz w:val="19"/>
          <w:szCs w:val="19"/>
        </w:rPr>
      </w:pPr>
      <w:r>
        <w:rPr>
          <w:rFonts w:ascii="Tahoma" w:eastAsia="Times New Roman" w:hAnsi="Tahoma" w:cs="Tahoma"/>
          <w:sz w:val="19"/>
          <w:szCs w:val="19"/>
        </w:rPr>
        <w:t>Riziko požáru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Obvyklé (400 MJ/m2 &lt; měrné požární zatížení &lt; 800 MJ/m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Opatření ke zmenšení následků požáru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w:t>
      </w:r>
    </w:p>
    <w:p w:rsidR="00000000" w:rsidRDefault="00904F06">
      <w:pPr>
        <w:spacing w:line="480" w:lineRule="atLeast"/>
        <w:divId w:val="266546507"/>
        <w:rPr>
          <w:rFonts w:ascii="Tahoma" w:eastAsia="Times New Roman" w:hAnsi="Tahoma" w:cs="Tahoma"/>
          <w:sz w:val="19"/>
          <w:szCs w:val="19"/>
        </w:rPr>
      </w:pPr>
      <w:r>
        <w:rPr>
          <w:rFonts w:ascii="Tahoma" w:eastAsia="Times New Roman" w:hAnsi="Tahoma" w:cs="Tahoma"/>
          <w:sz w:val="19"/>
          <w:szCs w:val="19"/>
        </w:rPr>
        <w:t>Jedno z následujících: hasicí přístroje, pevná ručně o</w:t>
      </w:r>
      <w:r>
        <w:rPr>
          <w:rFonts w:ascii="Tahoma" w:eastAsia="Times New Roman" w:hAnsi="Tahoma" w:cs="Tahoma"/>
          <w:sz w:val="19"/>
          <w:szCs w:val="19"/>
        </w:rPr>
        <w:t>vládaná hasicí instalace,ruční poplachové instalace, hydranty, ohnivzdorné úseky, chráněné únikové cesty</w:t>
      </w:r>
      <w:r>
        <w:rPr>
          <w:rFonts w:ascii="Tahoma" w:eastAsia="Times New Roman" w:hAnsi="Tahoma" w:cs="Tahoma"/>
          <w:sz w:val="19"/>
          <w:szCs w:val="19"/>
        </w:rPr>
        <w:br/>
        <w:t>Jedno z následujících: pevná automaticky ovládaná hasicí instalace, automaticképoplachové instalace chráněné proti přepětím a jiným škodám za předpokla</w:t>
      </w:r>
      <w:r>
        <w:rPr>
          <w:rFonts w:ascii="Tahoma" w:eastAsia="Times New Roman" w:hAnsi="Tahoma" w:cs="Tahoma"/>
          <w:sz w:val="19"/>
          <w:szCs w:val="19"/>
        </w:rPr>
        <w:t>du,že hasiči se mohou dostavit do 10 minut</w:t>
      </w:r>
    </w:p>
    <w:p w:rsidR="00000000" w:rsidRDefault="00904F06">
      <w:pPr>
        <w:spacing w:line="480" w:lineRule="atLeast"/>
        <w:divId w:val="803158672"/>
        <w:rPr>
          <w:rFonts w:ascii="Tahoma" w:eastAsia="Times New Roman" w:hAnsi="Tahoma" w:cs="Tahoma"/>
          <w:sz w:val="19"/>
          <w:szCs w:val="19"/>
        </w:rPr>
      </w:pPr>
      <w:r>
        <w:rPr>
          <w:rFonts w:ascii="Tahoma" w:eastAsia="Times New Roman" w:hAnsi="Tahoma" w:cs="Tahoma"/>
          <w:sz w:val="19"/>
          <w:szCs w:val="19"/>
        </w:rPr>
        <w:lastRenderedPageBreak/>
        <w:t>Druh zvláštního rizika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xml:space="preserve">): Průměrná úroveň paniky (např. stavby navržené pro kulturní a sportovní události s počtem účastníků 100 - 1000 osob) </w:t>
      </w:r>
      <w:r>
        <w:rPr>
          <w:rFonts w:ascii="Tahoma" w:eastAsia="Times New Roman" w:hAnsi="Tahoma" w:cs="Tahoma"/>
          <w:sz w:val="19"/>
          <w:szCs w:val="19"/>
        </w:rPr>
        <w:br/>
        <w:t>Ochrannná opatření proti úrazu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w:t>
      </w:r>
    </w:p>
    <w:p w:rsidR="00000000" w:rsidRDefault="00904F06">
      <w:pPr>
        <w:spacing w:line="480" w:lineRule="atLeast"/>
        <w:divId w:val="1046879475"/>
        <w:rPr>
          <w:rFonts w:ascii="Tahoma" w:eastAsia="Times New Roman" w:hAnsi="Tahoma" w:cs="Tahoma"/>
          <w:sz w:val="19"/>
          <w:szCs w:val="19"/>
        </w:rPr>
      </w:pPr>
      <w:r>
        <w:rPr>
          <w:rFonts w:ascii="Tahoma" w:eastAsia="Times New Roman" w:hAnsi="Tahoma" w:cs="Tahoma"/>
          <w:sz w:val="19"/>
          <w:szCs w:val="19"/>
        </w:rPr>
        <w:t>Účinné ekvipotenciální propojení v půdě (ovlivňuje pouze R</w:t>
      </w:r>
      <w:r>
        <w:rPr>
          <w:rFonts w:ascii="Tahoma" w:eastAsia="Times New Roman" w:hAnsi="Tahoma" w:cs="Tahoma"/>
          <w:sz w:val="19"/>
          <w:szCs w:val="19"/>
          <w:vertAlign w:val="subscript"/>
        </w:rPr>
        <w:t>A</w:t>
      </w:r>
      <w:r>
        <w:rPr>
          <w:rFonts w:ascii="Tahoma" w:eastAsia="Times New Roman" w:hAnsi="Tahoma" w:cs="Tahoma"/>
          <w:sz w:val="19"/>
          <w:szCs w:val="19"/>
        </w:rPr>
        <w:t xml:space="preserve"> )</w:t>
      </w:r>
      <w:r>
        <w:rPr>
          <w:rFonts w:ascii="Tahoma" w:eastAsia="Times New Roman" w:hAnsi="Tahoma" w:cs="Tahoma"/>
          <w:sz w:val="19"/>
          <w:szCs w:val="19"/>
        </w:rPr>
        <w:br/>
        <w:t>Fyzická omezení nebo konstrukce budovy použitá jako soustava svodů</w:t>
      </w:r>
    </w:p>
    <w:p w:rsidR="00000000" w:rsidRDefault="00904F06">
      <w:pPr>
        <w:spacing w:line="480" w:lineRule="atLeast"/>
        <w:divId w:val="803158672"/>
        <w:rPr>
          <w:rFonts w:ascii="Tahoma" w:eastAsia="Times New Roman" w:hAnsi="Tahoma" w:cs="Tahoma"/>
          <w:sz w:val="19"/>
          <w:szCs w:val="19"/>
        </w:rPr>
      </w:pPr>
      <w:r>
        <w:rPr>
          <w:rFonts w:ascii="Tahoma" w:eastAsia="Times New Roman" w:hAnsi="Tahoma" w:cs="Tahoma"/>
          <w:sz w:val="19"/>
          <w:szCs w:val="19"/>
        </w:rPr>
        <w:t>Typ podlahy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 xml:space="preserve">): Dotykový odpor 10-100 kOhm (Štěrk, mozaika, koberec) </w:t>
      </w:r>
    </w:p>
    <w:p w:rsidR="00000000" w:rsidRDefault="00904F06">
      <w:pPr>
        <w:pStyle w:val="Nadpis4"/>
        <w:spacing w:line="480" w:lineRule="atLeast"/>
        <w:divId w:val="644436941"/>
        <w:rPr>
          <w:rFonts w:ascii="Tahoma" w:eastAsia="Times New Roman" w:hAnsi="Tahoma" w:cs="Tahoma"/>
        </w:rPr>
      </w:pPr>
      <w:r>
        <w:rPr>
          <w:rFonts w:ascii="Tahoma" w:eastAsia="Times New Roman" w:hAnsi="Tahoma" w:cs="Tahoma"/>
        </w:rPr>
        <w:t>LPZ 0/1</w:t>
      </w:r>
    </w:p>
    <w:p w:rsidR="00000000" w:rsidRDefault="00904F06">
      <w:pPr>
        <w:pStyle w:val="Nadpis4"/>
        <w:spacing w:line="480" w:lineRule="atLeast"/>
        <w:divId w:val="25451724"/>
        <w:rPr>
          <w:rFonts w:ascii="Tahoma" w:eastAsia="Times New Roman" w:hAnsi="Tahoma" w:cs="Tahoma"/>
        </w:rPr>
      </w:pPr>
      <w:r>
        <w:rPr>
          <w:rFonts w:ascii="Tahoma" w:eastAsia="Times New Roman" w:hAnsi="Tahoma" w:cs="Tahoma"/>
        </w:rPr>
        <w:t>EPS [Silová vedení [S]]</w:t>
      </w:r>
    </w:p>
    <w:p w:rsidR="00000000" w:rsidRDefault="00904F06">
      <w:pPr>
        <w:spacing w:after="240" w:line="480" w:lineRule="atLeast"/>
        <w:divId w:val="782959939"/>
        <w:rPr>
          <w:rFonts w:ascii="Tahoma" w:eastAsia="Times New Roman" w:hAnsi="Tahoma" w:cs="Tahoma"/>
          <w:sz w:val="19"/>
          <w:szCs w:val="19"/>
        </w:rPr>
      </w:pPr>
      <w:r>
        <w:rPr>
          <w:rFonts w:ascii="Tahoma" w:eastAsia="Times New Roman" w:hAnsi="Tahoma" w:cs="Tahoma"/>
          <w:sz w:val="19"/>
          <w:szCs w:val="19"/>
        </w:rPr>
        <w:t>Impulsním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1,5 Uw v kV</w:t>
      </w:r>
      <w:r>
        <w:rPr>
          <w:rFonts w:ascii="Tahoma" w:eastAsia="Times New Roman" w:hAnsi="Tahoma" w:cs="Tahoma"/>
          <w:sz w:val="19"/>
          <w:szCs w:val="19"/>
        </w:rPr>
        <w:br/>
        <w:t>Trasování vedení: Nestíněný kabel - žádné opatření při trasování pro vyloučení velkých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 vnějších sítí: Nestíněný kabel</w:t>
      </w:r>
      <w:r>
        <w:rPr>
          <w:rFonts w:ascii="Tahoma" w:eastAsia="Times New Roman" w:hAnsi="Tahoma" w:cs="Tahoma"/>
          <w:sz w:val="19"/>
          <w:szCs w:val="19"/>
        </w:rPr>
        <w:br/>
        <w:t xml:space="preserve">Koordinovaná ochrana SPD: Odpovídající LPL II </w:t>
      </w:r>
      <w:r>
        <w:rPr>
          <w:rFonts w:ascii="Tahoma" w:eastAsia="Times New Roman" w:hAnsi="Tahoma" w:cs="Tahoma"/>
          <w:sz w:val="19"/>
          <w:szCs w:val="19"/>
        </w:rPr>
        <w:br/>
        <w:t>Pro vnitřní ochr</w:t>
      </w:r>
      <w:r>
        <w:rPr>
          <w:rFonts w:ascii="Tahoma" w:eastAsia="Times New Roman" w:hAnsi="Tahoma" w:cs="Tahoma"/>
          <w:sz w:val="19"/>
          <w:szCs w:val="19"/>
        </w:rPr>
        <w:t>anu je navržena ochrana SPD v souladu s ČSN EN 62 305 a ČSN EN 61643-11 výrobce Hakel spol. s r.o.</w:t>
      </w:r>
      <w:r>
        <w:rPr>
          <w:rFonts w:ascii="Tahoma" w:eastAsia="Times New Roman" w:hAnsi="Tahoma" w:cs="Tahoma"/>
          <w:sz w:val="19"/>
          <w:szCs w:val="19"/>
        </w:rPr>
        <w:br/>
        <w:t>Návrh konkrétních přístrojů v závislosti na typu sítě:</w:t>
      </w:r>
      <w:r>
        <w:rPr>
          <w:rFonts w:ascii="Tahoma" w:eastAsia="Times New Roman" w:hAnsi="Tahoma" w:cs="Tahoma"/>
          <w:sz w:val="19"/>
          <w:szCs w:val="19"/>
        </w:rPr>
        <w:br/>
        <w:t>3-FÁZOVÁ TN-C: SPC25/3+0 + Koordinovaný systém SPD vyhovující EN 62305-4</w:t>
      </w:r>
      <w:r>
        <w:rPr>
          <w:rFonts w:ascii="Tahoma" w:eastAsia="Times New Roman" w:hAnsi="Tahoma" w:cs="Tahoma"/>
          <w:sz w:val="19"/>
          <w:szCs w:val="19"/>
        </w:rPr>
        <w:br/>
        <w:t>3-FÁZOVÁ TN-C: SPC25/3+1 + Ko</w:t>
      </w:r>
      <w:r>
        <w:rPr>
          <w:rFonts w:ascii="Tahoma" w:eastAsia="Times New Roman" w:hAnsi="Tahoma" w:cs="Tahoma"/>
          <w:sz w:val="19"/>
          <w:szCs w:val="19"/>
        </w:rPr>
        <w:t>ordinovaný systém SPD vyhovující EN 62305-4</w:t>
      </w:r>
    </w:p>
    <w:p w:rsidR="00000000" w:rsidRDefault="00904F06">
      <w:pPr>
        <w:pStyle w:val="Nadpis4"/>
        <w:spacing w:line="480" w:lineRule="atLeast"/>
        <w:divId w:val="25451724"/>
        <w:rPr>
          <w:rFonts w:ascii="Tahoma" w:eastAsia="Times New Roman" w:hAnsi="Tahoma" w:cs="Tahoma"/>
        </w:rPr>
      </w:pPr>
      <w:r>
        <w:rPr>
          <w:rFonts w:ascii="Tahoma" w:eastAsia="Times New Roman" w:hAnsi="Tahoma" w:cs="Tahoma"/>
        </w:rPr>
        <w:t>Silnoproudá elektroinstalace [Silová vedení [S]]</w:t>
      </w:r>
    </w:p>
    <w:p w:rsidR="00000000" w:rsidRDefault="00904F06">
      <w:pPr>
        <w:spacing w:after="240" w:line="480" w:lineRule="atLeast"/>
        <w:divId w:val="1623925221"/>
        <w:rPr>
          <w:rFonts w:ascii="Tahoma" w:eastAsia="Times New Roman" w:hAnsi="Tahoma" w:cs="Tahoma"/>
          <w:sz w:val="19"/>
          <w:szCs w:val="19"/>
        </w:rPr>
      </w:pPr>
      <w:r>
        <w:rPr>
          <w:rFonts w:ascii="Tahoma" w:eastAsia="Times New Roman" w:hAnsi="Tahoma" w:cs="Tahoma"/>
          <w:sz w:val="19"/>
          <w:szCs w:val="19"/>
        </w:rPr>
        <w:t>Impulsním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2,5 Uw v kV</w:t>
      </w:r>
      <w:r>
        <w:rPr>
          <w:rFonts w:ascii="Tahoma" w:eastAsia="Times New Roman" w:hAnsi="Tahoma" w:cs="Tahoma"/>
          <w:sz w:val="19"/>
          <w:szCs w:val="19"/>
        </w:rPr>
        <w:br/>
        <w:t>Trasování vedení: Nestíněný kabel - žádné opatření při trasování pro vyloučení velkých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w:t>
      </w:r>
      <w:r>
        <w:rPr>
          <w:rFonts w:ascii="Tahoma" w:eastAsia="Times New Roman" w:hAnsi="Tahoma" w:cs="Tahoma"/>
          <w:sz w:val="19"/>
          <w:szCs w:val="19"/>
        </w:rPr>
        <w:t xml:space="preserve"> vnějších sítí: Nestíněný kabel</w:t>
      </w:r>
      <w:r>
        <w:rPr>
          <w:rFonts w:ascii="Tahoma" w:eastAsia="Times New Roman" w:hAnsi="Tahoma" w:cs="Tahoma"/>
          <w:sz w:val="19"/>
          <w:szCs w:val="19"/>
        </w:rPr>
        <w:br/>
        <w:t xml:space="preserve">Koordinovaná ochrana SPD: Odpovídající LPL II </w:t>
      </w:r>
      <w:r>
        <w:rPr>
          <w:rFonts w:ascii="Tahoma" w:eastAsia="Times New Roman" w:hAnsi="Tahoma" w:cs="Tahoma"/>
          <w:sz w:val="19"/>
          <w:szCs w:val="19"/>
        </w:rPr>
        <w:br/>
        <w:t>Pro vnitřní ochranu je navržena ochrana SPD v souladu s ČSN EN 62 305 a ČSN EN 61643-11 výrobce Hakel spol. s r.o.</w:t>
      </w:r>
      <w:r>
        <w:rPr>
          <w:rFonts w:ascii="Tahoma" w:eastAsia="Times New Roman" w:hAnsi="Tahoma" w:cs="Tahoma"/>
          <w:sz w:val="19"/>
          <w:szCs w:val="19"/>
        </w:rPr>
        <w:br/>
      </w:r>
      <w:r>
        <w:rPr>
          <w:rFonts w:ascii="Tahoma" w:eastAsia="Times New Roman" w:hAnsi="Tahoma" w:cs="Tahoma"/>
          <w:sz w:val="19"/>
          <w:szCs w:val="19"/>
        </w:rPr>
        <w:lastRenderedPageBreak/>
        <w:t>Návrh konkrétních přístrojů v závislosti na typu sítě:</w:t>
      </w:r>
      <w:r>
        <w:rPr>
          <w:rFonts w:ascii="Tahoma" w:eastAsia="Times New Roman" w:hAnsi="Tahoma" w:cs="Tahoma"/>
          <w:sz w:val="19"/>
          <w:szCs w:val="19"/>
        </w:rPr>
        <w:br/>
        <w:t>3-FÁZOV</w:t>
      </w:r>
      <w:r>
        <w:rPr>
          <w:rFonts w:ascii="Tahoma" w:eastAsia="Times New Roman" w:hAnsi="Tahoma" w:cs="Tahoma"/>
          <w:sz w:val="19"/>
          <w:szCs w:val="19"/>
        </w:rPr>
        <w:t>Á TN-C: SPC25/3+0 + Koordinovaný systém SPD vyhovující EN 62305-4</w:t>
      </w:r>
      <w:r>
        <w:rPr>
          <w:rFonts w:ascii="Tahoma" w:eastAsia="Times New Roman" w:hAnsi="Tahoma" w:cs="Tahoma"/>
          <w:sz w:val="19"/>
          <w:szCs w:val="19"/>
        </w:rPr>
        <w:br/>
        <w:t>3-FÁZOVÁ TN-C: SPC25/3+1 + Koordinovaný systém SPD vyhovující EN 62305-4</w:t>
      </w:r>
    </w:p>
    <w:p w:rsidR="00000000" w:rsidRDefault="00904F06">
      <w:pPr>
        <w:pStyle w:val="Nadpis4"/>
        <w:spacing w:line="480" w:lineRule="atLeast"/>
        <w:divId w:val="25451724"/>
        <w:rPr>
          <w:rFonts w:ascii="Tahoma" w:eastAsia="Times New Roman" w:hAnsi="Tahoma" w:cs="Tahoma"/>
        </w:rPr>
      </w:pPr>
      <w:r>
        <w:rPr>
          <w:rFonts w:ascii="Tahoma" w:eastAsia="Times New Roman" w:hAnsi="Tahoma" w:cs="Tahoma"/>
        </w:rPr>
        <w:t>Telefonní kabely [Telekomunikační vedení [T]]</w:t>
      </w:r>
    </w:p>
    <w:p w:rsidR="00000000" w:rsidRDefault="00904F06">
      <w:pPr>
        <w:spacing w:after="240" w:line="480" w:lineRule="atLeast"/>
        <w:divId w:val="1351948211"/>
        <w:rPr>
          <w:rFonts w:ascii="Tahoma" w:eastAsia="Times New Roman" w:hAnsi="Tahoma" w:cs="Tahoma"/>
          <w:sz w:val="19"/>
          <w:szCs w:val="19"/>
        </w:rPr>
      </w:pPr>
      <w:r>
        <w:rPr>
          <w:rFonts w:ascii="Tahoma" w:eastAsia="Times New Roman" w:hAnsi="Tahoma" w:cs="Tahoma"/>
          <w:sz w:val="19"/>
          <w:szCs w:val="19"/>
        </w:rPr>
        <w:t>Impulsním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1 Uw v kV</w:t>
      </w:r>
      <w:r>
        <w:rPr>
          <w:rFonts w:ascii="Tahoma" w:eastAsia="Times New Roman" w:hAnsi="Tahoma" w:cs="Tahoma"/>
          <w:sz w:val="19"/>
          <w:szCs w:val="19"/>
        </w:rPr>
        <w:br/>
        <w:t>Trasování vedení: Nestíněný k</w:t>
      </w:r>
      <w:r>
        <w:rPr>
          <w:rFonts w:ascii="Tahoma" w:eastAsia="Times New Roman" w:hAnsi="Tahoma" w:cs="Tahoma"/>
          <w:sz w:val="19"/>
          <w:szCs w:val="19"/>
        </w:rPr>
        <w:t>abel - žádné opatření při trasování pro vyloučení velkých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 vnějších sítí: Stíněný kabel</w:t>
      </w:r>
      <w:r>
        <w:rPr>
          <w:rFonts w:ascii="Tahoma" w:eastAsia="Times New Roman" w:hAnsi="Tahoma" w:cs="Tahoma"/>
          <w:sz w:val="19"/>
          <w:szCs w:val="19"/>
        </w:rPr>
        <w:br/>
        <w:t xml:space="preserve">Koordinovaná ochrana SPD: Odpovídající LPL II </w:t>
      </w:r>
      <w:r>
        <w:rPr>
          <w:rFonts w:ascii="Tahoma" w:eastAsia="Times New Roman" w:hAnsi="Tahoma" w:cs="Tahoma"/>
          <w:sz w:val="19"/>
          <w:szCs w:val="19"/>
        </w:rPr>
        <w:br/>
        <w:t>+ Koordinovaný systém SPD vyhovující EN 62305-4</w:t>
      </w:r>
      <w:r>
        <w:rPr>
          <w:rFonts w:ascii="Tahoma" w:eastAsia="Times New Roman" w:hAnsi="Tahoma" w:cs="Tahoma"/>
          <w:sz w:val="19"/>
          <w:szCs w:val="19"/>
        </w:rPr>
        <w:br/>
      </w:r>
    </w:p>
    <w:p w:rsidR="00000000" w:rsidRDefault="00904F06">
      <w:pPr>
        <w:pStyle w:val="Nadpis4"/>
        <w:spacing w:line="480" w:lineRule="atLeast"/>
        <w:divId w:val="25451724"/>
        <w:rPr>
          <w:rFonts w:ascii="Tahoma" w:eastAsia="Times New Roman" w:hAnsi="Tahoma" w:cs="Tahoma"/>
        </w:rPr>
      </w:pPr>
      <w:r>
        <w:rPr>
          <w:rFonts w:ascii="Tahoma" w:eastAsia="Times New Roman" w:hAnsi="Tahoma" w:cs="Tahoma"/>
        </w:rPr>
        <w:t>LAN rozvody [Datové vedení [T]]</w:t>
      </w:r>
    </w:p>
    <w:p w:rsidR="00000000" w:rsidRDefault="00904F06">
      <w:pPr>
        <w:spacing w:line="480" w:lineRule="atLeast"/>
        <w:divId w:val="1125079603"/>
        <w:rPr>
          <w:rFonts w:ascii="Tahoma" w:eastAsia="Times New Roman" w:hAnsi="Tahoma" w:cs="Tahoma"/>
          <w:sz w:val="19"/>
          <w:szCs w:val="19"/>
        </w:rPr>
      </w:pPr>
      <w:r>
        <w:rPr>
          <w:rFonts w:ascii="Tahoma" w:eastAsia="Times New Roman" w:hAnsi="Tahoma" w:cs="Tahoma"/>
          <w:sz w:val="19"/>
          <w:szCs w:val="19"/>
        </w:rPr>
        <w:t>Impuls</w:t>
      </w:r>
      <w:r>
        <w:rPr>
          <w:rFonts w:ascii="Tahoma" w:eastAsia="Times New Roman" w:hAnsi="Tahoma" w:cs="Tahoma"/>
          <w:sz w:val="19"/>
          <w:szCs w:val="19"/>
        </w:rPr>
        <w:t>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1 Uw v kV</w:t>
      </w:r>
      <w:r>
        <w:rPr>
          <w:rFonts w:ascii="Tahoma" w:eastAsia="Times New Roman" w:hAnsi="Tahoma" w:cs="Tahoma"/>
          <w:sz w:val="19"/>
          <w:szCs w:val="19"/>
        </w:rPr>
        <w:br/>
        <w:t>Trasování vedení: Nestíněný kabel - žádné opatření při trasování pro vyloučení velkých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 vnějších sítí: Stíněný kabel</w:t>
      </w:r>
      <w:r>
        <w:rPr>
          <w:rFonts w:ascii="Tahoma" w:eastAsia="Times New Roman" w:hAnsi="Tahoma" w:cs="Tahoma"/>
          <w:sz w:val="19"/>
          <w:szCs w:val="19"/>
        </w:rPr>
        <w:br/>
        <w:t xml:space="preserve">Koordinovaná ochrana SPD: Není </w:t>
      </w:r>
    </w:p>
    <w:p w:rsidR="00000000" w:rsidRDefault="00904F06">
      <w:pPr>
        <w:pStyle w:val="Nadpis4"/>
        <w:spacing w:line="480" w:lineRule="atLeast"/>
        <w:divId w:val="821502841"/>
        <w:rPr>
          <w:rFonts w:ascii="Tahoma" w:eastAsia="Times New Roman" w:hAnsi="Tahoma" w:cs="Tahoma"/>
        </w:rPr>
      </w:pPr>
      <w:r>
        <w:rPr>
          <w:rFonts w:ascii="Tahoma" w:eastAsia="Times New Roman" w:hAnsi="Tahoma" w:cs="Tahoma"/>
        </w:rPr>
        <w:t>Ztráty</w:t>
      </w:r>
    </w:p>
    <w:p w:rsidR="00000000" w:rsidRDefault="00904F06">
      <w:pPr>
        <w:spacing w:line="480" w:lineRule="atLeast"/>
        <w:divId w:val="544677981"/>
        <w:rPr>
          <w:rFonts w:ascii="Tahoma" w:eastAsia="Times New Roman" w:hAnsi="Tahoma" w:cs="Tahoma"/>
          <w:sz w:val="19"/>
          <w:szCs w:val="19"/>
        </w:rPr>
      </w:pPr>
      <w:r>
        <w:rPr>
          <w:rFonts w:ascii="Tahoma" w:eastAsia="Times New Roman" w:hAnsi="Tahoma" w:cs="Tahoma"/>
          <w:sz w:val="19"/>
          <w:szCs w:val="19"/>
        </w:rPr>
        <w:t xml:space="preserve">Ztráty na lidských životech L1 - </w:t>
      </w:r>
      <w:r>
        <w:rPr>
          <w:rFonts w:ascii="Tahoma" w:eastAsia="Times New Roman" w:hAnsi="Tahoma" w:cs="Tahoma"/>
          <w:sz w:val="19"/>
          <w:szCs w:val="19"/>
        </w:rPr>
        <w:t>Úraz živých bytostí elektrickým proudem D1: 0,000001</w:t>
      </w:r>
      <w:r>
        <w:rPr>
          <w:rFonts w:ascii="Tahoma" w:eastAsia="Times New Roman" w:hAnsi="Tahoma" w:cs="Tahoma"/>
          <w:sz w:val="19"/>
          <w:szCs w:val="19"/>
        </w:rPr>
        <w:br/>
        <w:t>Ztráty na lidských životech L1 - Hmotná škoda D2: 0,0002</w:t>
      </w:r>
      <w:r>
        <w:rPr>
          <w:rFonts w:ascii="Tahoma" w:eastAsia="Times New Roman" w:hAnsi="Tahoma" w:cs="Tahoma"/>
          <w:sz w:val="19"/>
          <w:szCs w:val="19"/>
        </w:rPr>
        <w:br/>
        <w:t>Ztráty na lidských životech L1 - Porucha elektrických a elektronických systémů D3: 0</w:t>
      </w:r>
      <w:r>
        <w:rPr>
          <w:rFonts w:ascii="Tahoma" w:eastAsia="Times New Roman" w:hAnsi="Tahoma" w:cs="Tahoma"/>
          <w:sz w:val="19"/>
          <w:szCs w:val="19"/>
        </w:rPr>
        <w:br/>
        <w:t>Ztráty na veřejných službách L2 - Hmotná škoda D2: 0</w:t>
      </w:r>
      <w:r>
        <w:rPr>
          <w:rFonts w:ascii="Tahoma" w:eastAsia="Times New Roman" w:hAnsi="Tahoma" w:cs="Tahoma"/>
          <w:sz w:val="19"/>
          <w:szCs w:val="19"/>
        </w:rPr>
        <w:br/>
        <w:t>Ztráty n</w:t>
      </w:r>
      <w:r>
        <w:rPr>
          <w:rFonts w:ascii="Tahoma" w:eastAsia="Times New Roman" w:hAnsi="Tahoma" w:cs="Tahoma"/>
          <w:sz w:val="19"/>
          <w:szCs w:val="19"/>
        </w:rPr>
        <w:t>a veřejných službách L2 - Porucha elektrických a elektronických systémů D3: 0</w:t>
      </w:r>
      <w:r>
        <w:rPr>
          <w:rFonts w:ascii="Tahoma" w:eastAsia="Times New Roman" w:hAnsi="Tahoma" w:cs="Tahoma"/>
          <w:sz w:val="19"/>
          <w:szCs w:val="19"/>
        </w:rPr>
        <w:br/>
        <w:t>Ztráty kulturního dědictví L3 - Hmotná škoda D2: 0</w:t>
      </w:r>
      <w:r>
        <w:rPr>
          <w:rFonts w:ascii="Tahoma" w:eastAsia="Times New Roman" w:hAnsi="Tahoma" w:cs="Tahoma"/>
          <w:sz w:val="19"/>
          <w:szCs w:val="19"/>
        </w:rPr>
        <w:br/>
        <w:t>Ekonomická ztráta L4 - Úraz živých bytostí elektrickým proudem D1: 0</w:t>
      </w:r>
      <w:r>
        <w:rPr>
          <w:rFonts w:ascii="Tahoma" w:eastAsia="Times New Roman" w:hAnsi="Tahoma" w:cs="Tahoma"/>
          <w:sz w:val="19"/>
          <w:szCs w:val="19"/>
        </w:rPr>
        <w:br/>
      </w:r>
      <w:r>
        <w:rPr>
          <w:rFonts w:ascii="Tahoma" w:eastAsia="Times New Roman" w:hAnsi="Tahoma" w:cs="Tahoma"/>
          <w:sz w:val="19"/>
          <w:szCs w:val="19"/>
        </w:rPr>
        <w:lastRenderedPageBreak/>
        <w:t>Ekonomická ztráta L4 - Hmotná škoda D2: 0,0001946903</w:t>
      </w:r>
      <w:r>
        <w:rPr>
          <w:rFonts w:ascii="Tahoma" w:eastAsia="Times New Roman" w:hAnsi="Tahoma" w:cs="Tahoma"/>
          <w:sz w:val="19"/>
          <w:szCs w:val="19"/>
        </w:rPr>
        <w:br/>
        <w:t>Ekono</w:t>
      </w:r>
      <w:r>
        <w:rPr>
          <w:rFonts w:ascii="Tahoma" w:eastAsia="Times New Roman" w:hAnsi="Tahoma" w:cs="Tahoma"/>
          <w:sz w:val="19"/>
          <w:szCs w:val="19"/>
        </w:rPr>
        <w:t>mická ztráta L4 - Porucha elektrických a elektronických systémů D3: 0,0000070796</w:t>
      </w:r>
    </w:p>
    <w:p w:rsidR="00000000" w:rsidRDefault="00904F06">
      <w:pPr>
        <w:pStyle w:val="Nadpis3"/>
        <w:spacing w:line="480" w:lineRule="atLeast"/>
        <w:divId w:val="1209952754"/>
        <w:rPr>
          <w:rFonts w:ascii="Tahoma" w:eastAsia="Times New Roman" w:hAnsi="Tahoma" w:cs="Tahoma"/>
          <w:sz w:val="19"/>
          <w:szCs w:val="19"/>
        </w:rPr>
      </w:pPr>
      <w:r>
        <w:rPr>
          <w:rFonts w:ascii="Tahoma" w:eastAsia="Times New Roman" w:hAnsi="Tahoma" w:cs="Tahoma"/>
          <w:sz w:val="19"/>
          <w:szCs w:val="19"/>
        </w:rPr>
        <w:t>Ztráty</w:t>
      </w:r>
    </w:p>
    <w:p w:rsidR="00000000" w:rsidRDefault="00904F06">
      <w:pPr>
        <w:spacing w:line="480" w:lineRule="atLeast"/>
        <w:divId w:val="1209952754"/>
        <w:rPr>
          <w:rFonts w:ascii="Tahoma" w:eastAsia="Times New Roman" w:hAnsi="Tahoma" w:cs="Tahoma"/>
          <w:sz w:val="19"/>
          <w:szCs w:val="19"/>
        </w:rPr>
      </w:pPr>
      <w:r>
        <w:rPr>
          <w:rFonts w:ascii="Tahoma" w:eastAsia="Times New Roman" w:hAnsi="Tahoma" w:cs="Tahoma"/>
          <w:sz w:val="19"/>
          <w:szCs w:val="19"/>
        </w:rPr>
        <w:t>Očekávaný celkový počet osob ve stavbě a v její blízkosti: 1 200 osob</w:t>
      </w:r>
      <w:r>
        <w:rPr>
          <w:rFonts w:ascii="Tahoma" w:eastAsia="Times New Roman" w:hAnsi="Tahoma" w:cs="Tahoma"/>
          <w:sz w:val="19"/>
          <w:szCs w:val="19"/>
        </w:rPr>
        <w:br/>
        <w:t>Celkový počet neobsloužených uživatelů: 0 osob</w:t>
      </w:r>
      <w:r>
        <w:rPr>
          <w:rFonts w:ascii="Tahoma" w:eastAsia="Times New Roman" w:hAnsi="Tahoma" w:cs="Tahoma"/>
          <w:sz w:val="19"/>
          <w:szCs w:val="19"/>
        </w:rPr>
        <w:br/>
        <w:t>Celková pojistitelná hodnota stavby: 0 měna</w:t>
      </w:r>
      <w:r>
        <w:rPr>
          <w:rFonts w:ascii="Tahoma" w:eastAsia="Times New Roman" w:hAnsi="Tahoma" w:cs="Tahoma"/>
          <w:sz w:val="19"/>
          <w:szCs w:val="19"/>
        </w:rPr>
        <w:br/>
        <w:t>Celkov</w:t>
      </w:r>
      <w:r>
        <w:rPr>
          <w:rFonts w:ascii="Tahoma" w:eastAsia="Times New Roman" w:hAnsi="Tahoma" w:cs="Tahoma"/>
          <w:sz w:val="19"/>
          <w:szCs w:val="19"/>
        </w:rPr>
        <w:t>á hodnota stavby: 113 000 000 měna</w:t>
      </w:r>
    </w:p>
    <w:p w:rsidR="00000000" w:rsidRDefault="00904F06">
      <w:pPr>
        <w:pStyle w:val="Nadpis3"/>
        <w:spacing w:line="480" w:lineRule="atLeast"/>
        <w:divId w:val="1209952754"/>
        <w:rPr>
          <w:rFonts w:ascii="Tahoma" w:eastAsia="Times New Roman" w:hAnsi="Tahoma" w:cs="Tahoma"/>
          <w:sz w:val="19"/>
          <w:szCs w:val="19"/>
        </w:rPr>
      </w:pPr>
      <w:r>
        <w:rPr>
          <w:rFonts w:ascii="Tahoma" w:eastAsia="Times New Roman" w:hAnsi="Tahoma" w:cs="Tahoma"/>
          <w:sz w:val="19"/>
          <w:szCs w:val="19"/>
        </w:rPr>
        <w:t>Rizika</w:t>
      </w:r>
    </w:p>
    <w:p w:rsidR="00000000" w:rsidRDefault="00904F06">
      <w:pPr>
        <w:spacing w:line="480" w:lineRule="atLeast"/>
        <w:divId w:val="683359532"/>
        <w:rPr>
          <w:rFonts w:ascii="Tahoma" w:eastAsia="Times New Roman" w:hAnsi="Tahoma" w:cs="Tahoma"/>
          <w:sz w:val="19"/>
          <w:szCs w:val="19"/>
        </w:rPr>
      </w:pPr>
      <w:r>
        <w:rPr>
          <w:rStyle w:val="Siln"/>
          <w:rFonts w:ascii="Tahoma" w:eastAsia="Times New Roman" w:hAnsi="Tahoma" w:cs="Tahoma"/>
          <w:sz w:val="19"/>
          <w:szCs w:val="19"/>
        </w:rPr>
        <w:t>R1 * 10</w:t>
      </w:r>
      <w:r>
        <w:rPr>
          <w:rStyle w:val="Siln"/>
          <w:rFonts w:ascii="Tahoma" w:eastAsia="Times New Roman" w:hAnsi="Tahoma" w:cs="Tahoma"/>
          <w:sz w:val="19"/>
          <w:szCs w:val="19"/>
          <w:vertAlign w:val="superscript"/>
        </w:rPr>
        <w:t>-5</w:t>
      </w:r>
      <w:r>
        <w:rPr>
          <w:rStyle w:val="Siln"/>
          <w:rFonts w:ascii="Tahoma" w:eastAsia="Times New Roman" w:hAnsi="Tahoma" w:cs="Tahoma"/>
          <w:sz w:val="19"/>
          <w:szCs w:val="19"/>
        </w:rPr>
        <w:t xml:space="preserve"> = 0,6224411382 (vyhovuje)</w:t>
      </w:r>
      <w:r>
        <w:rPr>
          <w:rFonts w:ascii="Tahoma" w:eastAsia="Times New Roman" w:hAnsi="Tahoma" w:cs="Tahoma"/>
          <w:sz w:val="19"/>
          <w:szCs w:val="19"/>
        </w:rPr>
        <w:br/>
      </w:r>
      <w:r>
        <w:rPr>
          <w:rStyle w:val="Siln"/>
          <w:rFonts w:ascii="Tahoma" w:eastAsia="Times New Roman" w:hAnsi="Tahoma" w:cs="Tahoma"/>
          <w:sz w:val="19"/>
          <w:szCs w:val="19"/>
        </w:rPr>
        <w:t>R2 * 10</w:t>
      </w:r>
      <w:r>
        <w:rPr>
          <w:rStyle w:val="Siln"/>
          <w:rFonts w:ascii="Tahoma" w:eastAsia="Times New Roman" w:hAnsi="Tahoma" w:cs="Tahoma"/>
          <w:sz w:val="19"/>
          <w:szCs w:val="19"/>
          <w:vertAlign w:val="superscript"/>
        </w:rPr>
        <w:t>-3</w:t>
      </w:r>
      <w:r>
        <w:rPr>
          <w:rStyle w:val="Siln"/>
          <w:rFonts w:ascii="Tahoma" w:eastAsia="Times New Roman" w:hAnsi="Tahoma" w:cs="Tahoma"/>
          <w:sz w:val="19"/>
          <w:szCs w:val="19"/>
        </w:rPr>
        <w:t xml:space="preserve"> = 0 (vyhovuje)</w:t>
      </w:r>
      <w:r>
        <w:rPr>
          <w:rFonts w:ascii="Tahoma" w:eastAsia="Times New Roman" w:hAnsi="Tahoma" w:cs="Tahoma"/>
          <w:sz w:val="19"/>
          <w:szCs w:val="19"/>
        </w:rPr>
        <w:br/>
      </w:r>
      <w:r>
        <w:rPr>
          <w:rStyle w:val="Siln"/>
          <w:rFonts w:ascii="Tahoma" w:eastAsia="Times New Roman" w:hAnsi="Tahoma" w:cs="Tahoma"/>
          <w:sz w:val="19"/>
          <w:szCs w:val="19"/>
        </w:rPr>
        <w:t>R3 * 10</w:t>
      </w:r>
      <w:r>
        <w:rPr>
          <w:rStyle w:val="Siln"/>
          <w:rFonts w:ascii="Tahoma" w:eastAsia="Times New Roman" w:hAnsi="Tahoma" w:cs="Tahoma"/>
          <w:sz w:val="19"/>
          <w:szCs w:val="19"/>
          <w:vertAlign w:val="superscript"/>
        </w:rPr>
        <w:t>-4</w:t>
      </w:r>
      <w:r>
        <w:rPr>
          <w:rStyle w:val="Siln"/>
          <w:rFonts w:ascii="Tahoma" w:eastAsia="Times New Roman" w:hAnsi="Tahoma" w:cs="Tahoma"/>
          <w:sz w:val="19"/>
          <w:szCs w:val="19"/>
        </w:rPr>
        <w:t xml:space="preserve"> = 0 (vyhovuje)</w:t>
      </w:r>
      <w:r>
        <w:rPr>
          <w:rFonts w:ascii="Tahoma" w:eastAsia="Times New Roman" w:hAnsi="Tahoma" w:cs="Tahoma"/>
          <w:sz w:val="19"/>
          <w:szCs w:val="19"/>
        </w:rPr>
        <w:br/>
      </w:r>
      <w:r>
        <w:rPr>
          <w:rStyle w:val="Siln"/>
          <w:rFonts w:ascii="Tahoma" w:eastAsia="Times New Roman" w:hAnsi="Tahoma" w:cs="Tahoma"/>
          <w:sz w:val="19"/>
          <w:szCs w:val="19"/>
        </w:rPr>
        <w:t>R4 * 10</w:t>
      </w:r>
      <w:r>
        <w:rPr>
          <w:rStyle w:val="Siln"/>
          <w:rFonts w:ascii="Tahoma" w:eastAsia="Times New Roman" w:hAnsi="Tahoma" w:cs="Tahoma"/>
          <w:sz w:val="19"/>
          <w:szCs w:val="19"/>
          <w:vertAlign w:val="superscript"/>
        </w:rPr>
        <w:t>-3</w:t>
      </w:r>
      <w:r>
        <w:rPr>
          <w:rStyle w:val="Siln"/>
          <w:rFonts w:ascii="Tahoma" w:eastAsia="Times New Roman" w:hAnsi="Tahoma" w:cs="Tahoma"/>
          <w:sz w:val="19"/>
          <w:szCs w:val="19"/>
        </w:rPr>
        <w:t xml:space="preserve"> = 0,0288733192 </w:t>
      </w:r>
    </w:p>
    <w:p w:rsidR="00000000" w:rsidRDefault="00904F06">
      <w:pPr>
        <w:pStyle w:val="Nadpis3"/>
        <w:spacing w:line="480" w:lineRule="atLeast"/>
        <w:divId w:val="683359532"/>
        <w:rPr>
          <w:rFonts w:ascii="Tahoma" w:eastAsia="Times New Roman" w:hAnsi="Tahoma" w:cs="Tahoma"/>
          <w:sz w:val="19"/>
          <w:szCs w:val="19"/>
        </w:rPr>
      </w:pPr>
      <w:r>
        <w:rPr>
          <w:rFonts w:ascii="Tahoma" w:eastAsia="Times New Roman" w:hAnsi="Tahoma" w:cs="Tahoma"/>
          <w:sz w:val="19"/>
          <w:szCs w:val="19"/>
        </w:rPr>
        <w:t>R1 * 10</w:t>
      </w:r>
      <w:r>
        <w:rPr>
          <w:rFonts w:ascii="Tahoma" w:eastAsia="Times New Roman" w:hAnsi="Tahoma" w:cs="Tahoma"/>
          <w:sz w:val="19"/>
          <w:szCs w:val="19"/>
          <w:vertAlign w:val="superscript"/>
        </w:rPr>
        <w:t>-5</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727"/>
        <w:gridCol w:w="2630"/>
        <w:gridCol w:w="3609"/>
        <w:gridCol w:w="2090"/>
      </w:tblGrid>
      <w:tr w:rsidR="00000000">
        <w:trPr>
          <w:divId w:val="68335953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0,2797020231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0,2797020231</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C</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M</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0,3427391152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0,3427391152</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W</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Z</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lastRenderedPageBreak/>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0,6224411382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0,6224411382</w:t>
            </w:r>
          </w:p>
        </w:tc>
      </w:tr>
    </w:tbl>
    <w:p w:rsidR="00000000" w:rsidRDefault="00904F06">
      <w:pPr>
        <w:pStyle w:val="Nadpis3"/>
        <w:spacing w:line="480" w:lineRule="atLeast"/>
        <w:divId w:val="683359532"/>
        <w:rPr>
          <w:rFonts w:ascii="Tahoma" w:eastAsia="Times New Roman" w:hAnsi="Tahoma" w:cs="Tahoma"/>
          <w:sz w:val="19"/>
          <w:szCs w:val="19"/>
        </w:rPr>
      </w:pPr>
      <w:r>
        <w:rPr>
          <w:rFonts w:ascii="Tahoma" w:eastAsia="Times New Roman" w:hAnsi="Tahoma" w:cs="Tahoma"/>
          <w:sz w:val="19"/>
          <w:szCs w:val="19"/>
        </w:rPr>
        <w:t>R2 * 10</w:t>
      </w:r>
      <w:r>
        <w:rPr>
          <w:rFonts w:ascii="Tahoma" w:eastAsia="Times New Roman" w:hAnsi="Tahoma" w:cs="Tahoma"/>
          <w:sz w:val="19"/>
          <w:szCs w:val="19"/>
          <w:vertAlign w:val="superscript"/>
        </w:rPr>
        <w:t>-3</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836"/>
        <w:gridCol w:w="3043"/>
        <w:gridCol w:w="4179"/>
        <w:gridCol w:w="998"/>
      </w:tblGrid>
      <w:tr w:rsidR="00000000">
        <w:trPr>
          <w:divId w:val="68335953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C</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M</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W</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Z</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bl>
    <w:p w:rsidR="00000000" w:rsidRDefault="00904F06">
      <w:pPr>
        <w:pStyle w:val="Nadpis3"/>
        <w:spacing w:line="480" w:lineRule="atLeast"/>
        <w:divId w:val="683359532"/>
        <w:rPr>
          <w:rFonts w:ascii="Tahoma" w:eastAsia="Times New Roman" w:hAnsi="Tahoma" w:cs="Tahoma"/>
          <w:sz w:val="19"/>
          <w:szCs w:val="19"/>
        </w:rPr>
      </w:pPr>
      <w:r>
        <w:rPr>
          <w:rFonts w:ascii="Tahoma" w:eastAsia="Times New Roman" w:hAnsi="Tahoma" w:cs="Tahoma"/>
          <w:sz w:val="19"/>
          <w:szCs w:val="19"/>
        </w:rPr>
        <w:t>R3 * 10</w:t>
      </w:r>
      <w:r>
        <w:rPr>
          <w:rFonts w:ascii="Tahoma" w:eastAsia="Times New Roman" w:hAnsi="Tahoma" w:cs="Tahoma"/>
          <w:sz w:val="19"/>
          <w:szCs w:val="19"/>
          <w:vertAlign w:val="superscript"/>
        </w:rPr>
        <w:t>-4</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789"/>
        <w:gridCol w:w="3061"/>
        <w:gridCol w:w="4202"/>
        <w:gridCol w:w="1004"/>
      </w:tblGrid>
      <w:tr w:rsidR="00000000">
        <w:trPr>
          <w:divId w:val="68335953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bl>
    <w:p w:rsidR="00000000" w:rsidRDefault="00904F06">
      <w:pPr>
        <w:pStyle w:val="Nadpis3"/>
        <w:spacing w:line="480" w:lineRule="atLeast"/>
        <w:divId w:val="683359532"/>
        <w:rPr>
          <w:rFonts w:ascii="Tahoma" w:eastAsia="Times New Roman" w:hAnsi="Tahoma" w:cs="Tahoma"/>
          <w:sz w:val="19"/>
          <w:szCs w:val="19"/>
        </w:rPr>
      </w:pPr>
      <w:r>
        <w:rPr>
          <w:rFonts w:ascii="Tahoma" w:eastAsia="Times New Roman" w:hAnsi="Tahoma" w:cs="Tahoma"/>
          <w:sz w:val="19"/>
          <w:szCs w:val="19"/>
        </w:rPr>
        <w:t>R4 * 10</w:t>
      </w:r>
      <w:r>
        <w:rPr>
          <w:rFonts w:ascii="Tahoma" w:eastAsia="Times New Roman" w:hAnsi="Tahoma" w:cs="Tahoma"/>
          <w:sz w:val="19"/>
          <w:szCs w:val="19"/>
          <w:vertAlign w:val="superscript"/>
        </w:rPr>
        <w:t>-3</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727"/>
        <w:gridCol w:w="2630"/>
        <w:gridCol w:w="3609"/>
        <w:gridCol w:w="2090"/>
      </w:tblGrid>
      <w:tr w:rsidR="00000000">
        <w:trPr>
          <w:divId w:val="68335953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0,0027227631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0,0027227631</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lastRenderedPageBreak/>
              <w:t>R</w:t>
            </w:r>
            <w:r>
              <w:rPr>
                <w:rFonts w:ascii="Tahoma" w:eastAsia="Times New Roman" w:hAnsi="Tahoma" w:cs="Tahoma"/>
                <w:sz w:val="19"/>
                <w:szCs w:val="19"/>
                <w:vertAlign w:val="subscript"/>
              </w:rPr>
              <w:t>C</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0,0019801913</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0,0019801913</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M</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0,0177514654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0,0177514654</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0,0033363985</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0,0033363985</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W</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0,0029520089</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0,0029520089</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Z</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0,000130492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0,000130492</w:t>
            </w:r>
          </w:p>
        </w:tc>
      </w:tr>
      <w:tr w:rsidR="00000000">
        <w:trPr>
          <w:divId w:val="68335953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0,0288733192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0,0288733192</w:t>
            </w:r>
          </w:p>
        </w:tc>
      </w:tr>
    </w:tbl>
    <w:p w:rsidR="00000000" w:rsidRDefault="00904F06">
      <w:pPr>
        <w:pStyle w:val="Nadpis3"/>
        <w:spacing w:line="480" w:lineRule="atLeast"/>
        <w:divId w:val="1826700351"/>
        <w:rPr>
          <w:rFonts w:ascii="Tahoma" w:eastAsia="Times New Roman" w:hAnsi="Tahoma" w:cs="Tahoma"/>
          <w:sz w:val="19"/>
          <w:szCs w:val="19"/>
        </w:rPr>
      </w:pPr>
      <w:r>
        <w:rPr>
          <w:rFonts w:ascii="Tahoma" w:eastAsia="Times New Roman" w:hAnsi="Tahoma" w:cs="Tahoma"/>
          <w:sz w:val="19"/>
          <w:szCs w:val="19"/>
        </w:rPr>
        <w:t>Ocenění nákladů a ztrát</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2775"/>
        <w:gridCol w:w="1688"/>
        <w:gridCol w:w="2384"/>
        <w:gridCol w:w="2209"/>
      </w:tblGrid>
      <w:tr w:rsidR="00000000">
        <w:trPr>
          <w:divId w:val="1826700351"/>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zvířat C</w:t>
            </w:r>
            <w:r>
              <w:rPr>
                <w:rFonts w:ascii="Tahoma" w:eastAsia="Times New Roman" w:hAnsi="Tahoma" w:cs="Tahoma"/>
                <w:sz w:val="19"/>
                <w:szCs w:val="19"/>
                <w:vertAlign w:val="subscript"/>
              </w:rPr>
              <w:t>A</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systémů ve stavbě C</w:t>
            </w:r>
            <w:r>
              <w:rPr>
                <w:rFonts w:ascii="Tahoma" w:eastAsia="Times New Roman" w:hAnsi="Tahoma" w:cs="Tahoma"/>
                <w:sz w:val="19"/>
                <w:szCs w:val="19"/>
                <w:vertAlign w:val="subscript"/>
              </w:rPr>
              <w:t>S</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3 000 000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8 000 000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11 000 000</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budovy C</w:t>
            </w:r>
            <w:r>
              <w:rPr>
                <w:rFonts w:ascii="Tahoma" w:eastAsia="Times New Roman" w:hAnsi="Tahoma" w:cs="Tahoma"/>
                <w:sz w:val="19"/>
                <w:szCs w:val="19"/>
                <w:vertAlign w:val="subscript"/>
              </w:rPr>
              <w:t>B</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80 000 000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80 000 000</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obsahu C</w:t>
            </w:r>
            <w:r>
              <w:rPr>
                <w:rFonts w:ascii="Tahoma" w:eastAsia="Times New Roman" w:hAnsi="Tahoma" w:cs="Tahoma"/>
                <w:sz w:val="19"/>
                <w:szCs w:val="19"/>
                <w:vertAlign w:val="subscript"/>
              </w:rPr>
              <w:t>C</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22 000 000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22 000 000</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Celkem - střední hodnota možných ztrát c(L</w:t>
            </w:r>
            <w:r>
              <w:rPr>
                <w:rFonts w:ascii="Tahoma" w:eastAsia="Times New Roman" w:hAnsi="Tahoma" w:cs="Tahoma"/>
                <w:sz w:val="19"/>
                <w:szCs w:val="19"/>
                <w:vertAlign w:val="subscript"/>
              </w:rPr>
              <w:t>o</w:t>
            </w:r>
            <w:r>
              <w:rPr>
                <w:rFonts w:ascii="Tahoma" w:eastAsia="Times New Roman" w:hAnsi="Tahoma" w:cs="Tahoma"/>
                <w:sz w:val="19"/>
                <w:szCs w:val="19"/>
              </w:rPr>
              <w:t>4) :</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3 </w:t>
            </w:r>
            <w:r>
              <w:rPr>
                <w:rStyle w:val="Siln"/>
                <w:rFonts w:ascii="Tahoma" w:eastAsia="Times New Roman" w:hAnsi="Tahoma" w:cs="Tahoma"/>
                <w:sz w:val="19"/>
                <w:szCs w:val="19"/>
              </w:rPr>
              <w:t>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110 000 000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113 000 000</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Náklady na ztráty bez přijatých ochranných opatření C</w:t>
            </w:r>
            <w:r>
              <w:rPr>
                <w:rFonts w:ascii="Tahoma" w:eastAsia="Times New Roman" w:hAnsi="Tahoma" w:cs="Tahoma"/>
                <w:sz w:val="19"/>
                <w:szCs w:val="19"/>
                <w:vertAlign w:val="subscript"/>
              </w:rPr>
              <w:t>L</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3 262,6850681189</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3 262,6850681189</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Celková cena zbytkových ztrát C</w:t>
            </w:r>
            <w:r>
              <w:rPr>
                <w:rFonts w:ascii="Tahoma" w:eastAsia="Times New Roman" w:hAnsi="Tahoma" w:cs="Tahoma"/>
                <w:sz w:val="19"/>
                <w:szCs w:val="19"/>
                <w:vertAlign w:val="subscript"/>
              </w:rPr>
              <w:t>RL</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3 262,6850681189</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3 262,6850681189</w:t>
            </w:r>
          </w:p>
        </w:tc>
      </w:tr>
    </w:tbl>
    <w:p w:rsidR="00000000" w:rsidRDefault="00904F06">
      <w:pPr>
        <w:pStyle w:val="Nadpis3"/>
        <w:spacing w:line="480" w:lineRule="atLeast"/>
        <w:divId w:val="1826700351"/>
        <w:rPr>
          <w:rFonts w:ascii="Tahoma" w:eastAsia="Times New Roman" w:hAnsi="Tahoma" w:cs="Tahoma"/>
          <w:sz w:val="19"/>
          <w:szCs w:val="19"/>
        </w:rPr>
      </w:pPr>
      <w:r>
        <w:rPr>
          <w:rFonts w:ascii="Tahoma" w:eastAsia="Times New Roman" w:hAnsi="Tahoma" w:cs="Tahoma"/>
          <w:sz w:val="19"/>
          <w:szCs w:val="19"/>
        </w:rPr>
        <w:t>Cena ochranných opatření</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4384"/>
        <w:gridCol w:w="1020"/>
        <w:gridCol w:w="1465"/>
        <w:gridCol w:w="650"/>
        <w:gridCol w:w="391"/>
        <w:gridCol w:w="1146"/>
      </w:tblGrid>
      <w:tr w:rsidR="00000000">
        <w:trPr>
          <w:divId w:val="1826700351"/>
          <w:tblCellSpacing w:w="15" w:type="dxa"/>
        </w:trPr>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lastRenderedPageBreak/>
              <w:t>Ochranná opatření:</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Parametr:</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Hodnota parametru:</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Cena:</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Poznámka:</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Opatření pro celou stavbu: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Stavba chráněná pomocí LPS</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0,05</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SPD na vstupu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EB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Prostorové stínění:</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Opatření v jednotlivých vnějších zonách Z</w:t>
            </w:r>
            <w:r>
              <w:rPr>
                <w:rStyle w:val="Siln"/>
                <w:rFonts w:ascii="Tahoma" w:eastAsia="Times New Roman" w:hAnsi="Tahoma" w:cs="Tahoma"/>
                <w:sz w:val="19"/>
                <w:szCs w:val="19"/>
                <w:vertAlign w:val="subscript"/>
              </w:rPr>
              <w:t>s</w:t>
            </w:r>
            <w:r>
              <w:rPr>
                <w:rStyle w:val="Siln"/>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23.NP - klima jednotky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ruční opatření proti požáru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p</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0,5</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Table.protectionInnerByPotential.text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Fyzické zábrany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xml:space="preserve">  Půda: Dotykový odpor &gt; 100 kOhm (Asfalt, linoleum, dřevo) </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0,00001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Opatření v jednotlivých vnitřních zonách Z</w:t>
            </w:r>
            <w:r>
              <w:rPr>
                <w:rStyle w:val="Siln"/>
                <w:rFonts w:ascii="Tahoma" w:eastAsia="Times New Roman" w:hAnsi="Tahoma" w:cs="Tahoma"/>
                <w:sz w:val="19"/>
                <w:szCs w:val="19"/>
                <w:vertAlign w:val="subscript"/>
              </w:rPr>
              <w:t>s</w:t>
            </w:r>
            <w:r>
              <w:rPr>
                <w:rStyle w:val="Siln"/>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Vnitřní prostory LPZ1 [LPZ 0/1]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ruční opatření proti požáru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p</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automatické opatření proti požáru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p</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Table.protectionInnerByPotential.text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Fyzické zábrany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xml:space="preserve">  Půda: Dotykový odpor 10-100 kOhm (Štěrk, mozaika, koberec) </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0,0001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lastRenderedPageBreak/>
              <w:t>Vnitřní systémy: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EPS [Silová vedení [S]]</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Koordinovaná ochrana SPD</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SPD-4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Silnoproudá elektroinstalace [Silová vedení [S]]</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Koordinovaná ochrana SPD</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SPD-4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Telefonní kabely [Telekomunikační vedení [T]]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Typ vnějších sítí: Stíněný kabel</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X</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Koordinovaná ochrana SPD</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SPD-4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LAN rozvody [Datové vedení [T]]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w:t>
            </w:r>
            <w:r>
              <w:rPr>
                <w:rFonts w:ascii="Tahoma" w:eastAsia="Times New Roman" w:hAnsi="Tahoma" w:cs="Tahoma"/>
                <w:sz w:val="19"/>
                <w:szCs w:val="19"/>
              </w:rPr>
              <w:t>Typ vnějších sítí: Stíněný kabel</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X</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bl>
    <w:p w:rsidR="00000000" w:rsidRDefault="00904F06">
      <w:pPr>
        <w:spacing w:line="480" w:lineRule="atLeast"/>
        <w:divId w:val="1826700351"/>
        <w:rPr>
          <w:rFonts w:ascii="Tahoma" w:eastAsia="Times New Roman" w:hAnsi="Tahoma" w:cs="Tahoma"/>
          <w:sz w:val="19"/>
          <w:szCs w:val="19"/>
        </w:rPr>
      </w:pPr>
    </w:p>
    <w:tbl>
      <w:tblPr>
        <w:tblW w:w="2500" w:type="pct"/>
        <w:tblCellSpacing w:w="15"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4A0" w:firstRow="1" w:lastRow="0" w:firstColumn="1" w:lastColumn="0" w:noHBand="0" w:noVBand="1"/>
      </w:tblPr>
      <w:tblGrid>
        <w:gridCol w:w="2828"/>
        <w:gridCol w:w="489"/>
        <w:gridCol w:w="1216"/>
      </w:tblGrid>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Další náklady</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Celková cena ochranných opatření</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Úroková míra</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Odpisová sazba</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Míra údržby</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Roční cena ochranných opatření</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w:t>
            </w:r>
          </w:p>
        </w:tc>
      </w:tr>
      <w:tr w:rsidR="00000000">
        <w:trPr>
          <w:divId w:val="1826700351"/>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Roční úspora peněz</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 / rok</w:t>
            </w:r>
          </w:p>
        </w:tc>
      </w:tr>
    </w:tbl>
    <w:p w:rsidR="00000000" w:rsidRDefault="00904F06">
      <w:pPr>
        <w:pStyle w:val="Nadpis2"/>
        <w:spacing w:line="480" w:lineRule="atLeast"/>
        <w:divId w:val="1370375772"/>
        <w:rPr>
          <w:rFonts w:ascii="Tahoma" w:eastAsia="Times New Roman" w:hAnsi="Tahoma" w:cs="Tahoma"/>
          <w:sz w:val="21"/>
          <w:szCs w:val="21"/>
        </w:rPr>
      </w:pPr>
      <w:r>
        <w:rPr>
          <w:rFonts w:ascii="Tahoma" w:eastAsia="Times New Roman" w:hAnsi="Tahoma" w:cs="Tahoma"/>
          <w:sz w:val="21"/>
          <w:szCs w:val="21"/>
        </w:rPr>
        <w:lastRenderedPageBreak/>
        <w:t>Řešení: Řešení</w:t>
      </w:r>
    </w:p>
    <w:p w:rsidR="00000000" w:rsidRDefault="00904F06">
      <w:pPr>
        <w:pStyle w:val="Nadpis3"/>
        <w:spacing w:line="480" w:lineRule="atLeast"/>
        <w:divId w:val="885525220"/>
        <w:rPr>
          <w:rFonts w:ascii="Tahoma" w:eastAsia="Times New Roman" w:hAnsi="Tahoma" w:cs="Tahoma"/>
          <w:sz w:val="19"/>
          <w:szCs w:val="19"/>
        </w:rPr>
      </w:pPr>
      <w:r>
        <w:rPr>
          <w:rFonts w:ascii="Tahoma" w:eastAsia="Times New Roman" w:hAnsi="Tahoma" w:cs="Tahoma"/>
          <w:sz w:val="19"/>
          <w:szCs w:val="19"/>
        </w:rPr>
        <w:t>Silová vedení [S]</w:t>
      </w:r>
    </w:p>
    <w:p w:rsidR="00000000" w:rsidRDefault="00904F06">
      <w:pPr>
        <w:spacing w:line="480" w:lineRule="atLeast"/>
        <w:divId w:val="885525220"/>
        <w:rPr>
          <w:rFonts w:ascii="Tahoma" w:eastAsia="Times New Roman" w:hAnsi="Tahoma" w:cs="Tahoma"/>
          <w:sz w:val="19"/>
          <w:szCs w:val="19"/>
        </w:rPr>
      </w:pPr>
      <w:r>
        <w:rPr>
          <w:rFonts w:ascii="Tahoma" w:eastAsia="Times New Roman" w:hAnsi="Tahoma" w:cs="Tahoma"/>
          <w:sz w:val="19"/>
          <w:szCs w:val="19"/>
        </w:rPr>
        <w:t>Druh vedení: Silové vedení</w:t>
      </w:r>
    </w:p>
    <w:p w:rsidR="00000000" w:rsidRDefault="00904F06">
      <w:pPr>
        <w:pStyle w:val="Nadpis4"/>
        <w:spacing w:line="480" w:lineRule="atLeast"/>
        <w:divId w:val="885525220"/>
        <w:rPr>
          <w:rFonts w:ascii="Tahoma" w:eastAsia="Times New Roman" w:hAnsi="Tahoma" w:cs="Tahoma"/>
        </w:rPr>
      </w:pPr>
      <w:r>
        <w:rPr>
          <w:rFonts w:ascii="Tahoma" w:eastAsia="Times New Roman" w:hAnsi="Tahoma" w:cs="Tahoma"/>
        </w:rPr>
        <w:t>VN přívod</w:t>
      </w:r>
    </w:p>
    <w:p w:rsidR="00000000" w:rsidRDefault="00904F06">
      <w:pPr>
        <w:spacing w:line="480" w:lineRule="atLeast"/>
        <w:divId w:val="127285222"/>
        <w:rPr>
          <w:rFonts w:ascii="Tahoma" w:eastAsia="Times New Roman" w:hAnsi="Tahoma" w:cs="Tahoma"/>
          <w:sz w:val="19"/>
          <w:szCs w:val="19"/>
        </w:rPr>
      </w:pPr>
      <w:r>
        <w:rPr>
          <w:rFonts w:ascii="Tahoma" w:eastAsia="Times New Roman" w:hAnsi="Tahoma" w:cs="Tahoma"/>
          <w:sz w:val="19"/>
          <w:szCs w:val="19"/>
        </w:rPr>
        <w:t>Kabelové vedení</w:t>
      </w:r>
      <w:r>
        <w:rPr>
          <w:rFonts w:ascii="Tahoma" w:eastAsia="Times New Roman" w:hAnsi="Tahoma" w:cs="Tahoma"/>
          <w:sz w:val="19"/>
          <w:szCs w:val="19"/>
        </w:rPr>
        <w:br/>
        <w:t>Rezistivita půdy: 400 ?m</w:t>
      </w:r>
      <w:r>
        <w:rPr>
          <w:rFonts w:ascii="Tahoma" w:eastAsia="Times New Roman" w:hAnsi="Tahoma" w:cs="Tahoma"/>
          <w:sz w:val="19"/>
          <w:szCs w:val="19"/>
        </w:rPr>
        <w:br/>
        <w:t>Délka sekce: 1 000 m</w:t>
      </w:r>
      <w:r>
        <w:rPr>
          <w:rFonts w:ascii="Tahoma" w:eastAsia="Times New Roman" w:hAnsi="Tahoma" w:cs="Tahoma"/>
          <w:sz w:val="19"/>
          <w:szCs w:val="19"/>
        </w:rPr>
        <w:br/>
        <w:t>Přítomnost dvovinuťového transformátoru vn/nn C</w:t>
      </w:r>
      <w:r>
        <w:rPr>
          <w:rFonts w:ascii="Tahoma" w:eastAsia="Times New Roman" w:hAnsi="Tahoma" w:cs="Tahoma"/>
          <w:sz w:val="19"/>
          <w:szCs w:val="19"/>
          <w:vertAlign w:val="subscript"/>
        </w:rPr>
        <w:t>T</w:t>
      </w:r>
      <w:r>
        <w:rPr>
          <w:rFonts w:ascii="Tahoma" w:eastAsia="Times New Roman" w:hAnsi="Tahoma" w:cs="Tahoma"/>
          <w:sz w:val="19"/>
          <w:szCs w:val="19"/>
        </w:rPr>
        <w:br/>
        <w:t xml:space="preserve">Činitel prostředí: Městské s vysokými budovami (více než 20 m) </w:t>
      </w:r>
    </w:p>
    <w:p w:rsidR="00000000" w:rsidRDefault="00904F06">
      <w:pPr>
        <w:pStyle w:val="Nadpis4"/>
        <w:spacing w:line="480" w:lineRule="atLeast"/>
        <w:divId w:val="283122300"/>
        <w:rPr>
          <w:rFonts w:ascii="Tahoma" w:eastAsia="Times New Roman" w:hAnsi="Tahoma" w:cs="Tahoma"/>
        </w:rPr>
      </w:pPr>
      <w:r>
        <w:rPr>
          <w:rFonts w:ascii="Tahoma" w:eastAsia="Times New Roman" w:hAnsi="Tahoma" w:cs="Tahoma"/>
        </w:rPr>
        <w:t>Přilehlá stavba (ovlivňuje R</w:t>
      </w:r>
      <w:r>
        <w:rPr>
          <w:rFonts w:ascii="Tahoma" w:eastAsia="Times New Roman" w:hAnsi="Tahoma" w:cs="Tahoma"/>
          <w:vertAlign w:val="subscript"/>
        </w:rPr>
        <w:t>U</w:t>
      </w:r>
      <w:r>
        <w:rPr>
          <w:rFonts w:ascii="Tahoma" w:eastAsia="Times New Roman" w:hAnsi="Tahoma" w:cs="Tahoma"/>
        </w:rPr>
        <w:t>, R</w:t>
      </w:r>
      <w:r>
        <w:rPr>
          <w:rFonts w:ascii="Tahoma" w:eastAsia="Times New Roman" w:hAnsi="Tahoma" w:cs="Tahoma"/>
          <w:vertAlign w:val="subscript"/>
        </w:rPr>
        <w:t>V</w:t>
      </w:r>
      <w:r>
        <w:rPr>
          <w:rFonts w:ascii="Tahoma" w:eastAsia="Times New Roman" w:hAnsi="Tahoma" w:cs="Tahoma"/>
        </w:rPr>
        <w:t>, R</w:t>
      </w:r>
      <w:r>
        <w:rPr>
          <w:rFonts w:ascii="Tahoma" w:eastAsia="Times New Roman" w:hAnsi="Tahoma" w:cs="Tahoma"/>
          <w:vertAlign w:val="subscript"/>
        </w:rPr>
        <w:t>W</w:t>
      </w:r>
      <w:r>
        <w:rPr>
          <w:rFonts w:ascii="Tahoma" w:eastAsia="Times New Roman" w:hAnsi="Tahoma" w:cs="Tahoma"/>
        </w:rPr>
        <w:t>)</w:t>
      </w:r>
    </w:p>
    <w:p w:rsidR="00000000" w:rsidRDefault="00904F06">
      <w:pPr>
        <w:spacing w:line="480" w:lineRule="atLeast"/>
        <w:divId w:val="430589287"/>
        <w:rPr>
          <w:rFonts w:ascii="Tahoma" w:eastAsia="Times New Roman" w:hAnsi="Tahoma" w:cs="Tahoma"/>
          <w:sz w:val="19"/>
          <w:szCs w:val="19"/>
        </w:rPr>
      </w:pPr>
      <w:r>
        <w:rPr>
          <w:rFonts w:ascii="Tahoma" w:eastAsia="Times New Roman" w:hAnsi="Tahoma" w:cs="Tahoma"/>
          <w:sz w:val="19"/>
          <w:szCs w:val="19"/>
        </w:rPr>
        <w:t>Sběrná plocha A</w:t>
      </w:r>
      <w:r>
        <w:rPr>
          <w:rFonts w:ascii="Tahoma" w:eastAsia="Times New Roman" w:hAnsi="Tahoma" w:cs="Tahoma"/>
          <w:sz w:val="19"/>
          <w:szCs w:val="19"/>
          <w:vertAlign w:val="subscript"/>
        </w:rPr>
        <w:t>DJ</w:t>
      </w:r>
      <w:r>
        <w:rPr>
          <w:rFonts w:ascii="Tahoma" w:eastAsia="Times New Roman" w:hAnsi="Tahoma" w:cs="Tahoma"/>
          <w:sz w:val="19"/>
          <w:szCs w:val="19"/>
        </w:rPr>
        <w:t>: 135 798,0615819341 m</w:t>
      </w:r>
      <w:r>
        <w:rPr>
          <w:rFonts w:ascii="Tahoma" w:eastAsia="Times New Roman" w:hAnsi="Tahoma" w:cs="Tahoma"/>
          <w:sz w:val="19"/>
          <w:szCs w:val="19"/>
          <w:vertAlign w:val="superscript"/>
        </w:rPr>
        <w:t>2</w:t>
      </w:r>
      <w:r>
        <w:rPr>
          <w:rFonts w:ascii="Tahoma" w:eastAsia="Times New Roman" w:hAnsi="Tahoma" w:cs="Tahoma"/>
          <w:sz w:val="19"/>
          <w:szCs w:val="19"/>
        </w:rPr>
        <w:br/>
        <w:t>délka L</w:t>
      </w:r>
      <w:r>
        <w:rPr>
          <w:rFonts w:ascii="Tahoma" w:eastAsia="Times New Roman" w:hAnsi="Tahoma" w:cs="Tahoma"/>
          <w:sz w:val="19"/>
          <w:szCs w:val="19"/>
          <w:vertAlign w:val="subscript"/>
        </w:rPr>
        <w:t>J</w:t>
      </w:r>
      <w:r>
        <w:rPr>
          <w:rFonts w:ascii="Tahoma" w:eastAsia="Times New Roman" w:hAnsi="Tahoma" w:cs="Tahoma"/>
          <w:sz w:val="19"/>
          <w:szCs w:val="19"/>
        </w:rPr>
        <w:t>: 23,7 m</w:t>
      </w:r>
      <w:r>
        <w:rPr>
          <w:rFonts w:ascii="Tahoma" w:eastAsia="Times New Roman" w:hAnsi="Tahoma" w:cs="Tahoma"/>
          <w:sz w:val="19"/>
          <w:szCs w:val="19"/>
        </w:rPr>
        <w:br/>
        <w:t>šířka W</w:t>
      </w:r>
      <w:r>
        <w:rPr>
          <w:rFonts w:ascii="Tahoma" w:eastAsia="Times New Roman" w:hAnsi="Tahoma" w:cs="Tahoma"/>
          <w:sz w:val="19"/>
          <w:szCs w:val="19"/>
          <w:vertAlign w:val="subscript"/>
        </w:rPr>
        <w:t>J</w:t>
      </w:r>
      <w:r>
        <w:rPr>
          <w:rFonts w:ascii="Tahoma" w:eastAsia="Times New Roman" w:hAnsi="Tahoma" w:cs="Tahoma"/>
          <w:sz w:val="19"/>
          <w:szCs w:val="19"/>
        </w:rPr>
        <w:t>: 26,7 m</w:t>
      </w:r>
      <w:r>
        <w:rPr>
          <w:rFonts w:ascii="Tahoma" w:eastAsia="Times New Roman" w:hAnsi="Tahoma" w:cs="Tahoma"/>
          <w:sz w:val="19"/>
          <w:szCs w:val="19"/>
        </w:rPr>
        <w:br/>
        <w:t>výška H</w:t>
      </w:r>
      <w:r>
        <w:rPr>
          <w:rFonts w:ascii="Tahoma" w:eastAsia="Times New Roman" w:hAnsi="Tahoma" w:cs="Tahoma"/>
          <w:sz w:val="19"/>
          <w:szCs w:val="19"/>
          <w:vertAlign w:val="subscript"/>
        </w:rPr>
        <w:t>J</w:t>
      </w:r>
      <w:r>
        <w:rPr>
          <w:rFonts w:ascii="Tahoma" w:eastAsia="Times New Roman" w:hAnsi="Tahoma" w:cs="Tahoma"/>
          <w:sz w:val="19"/>
          <w:szCs w:val="19"/>
        </w:rPr>
        <w:t>: 64 m</w:t>
      </w:r>
      <w:r>
        <w:rPr>
          <w:rFonts w:ascii="Tahoma" w:eastAsia="Times New Roman" w:hAnsi="Tahoma" w:cs="Tahoma"/>
          <w:sz w:val="19"/>
          <w:szCs w:val="19"/>
        </w:rPr>
        <w:br/>
        <w:t>Činitel polohy C</w:t>
      </w:r>
      <w:r>
        <w:rPr>
          <w:rFonts w:ascii="Tahoma" w:eastAsia="Times New Roman" w:hAnsi="Tahoma" w:cs="Tahoma"/>
          <w:sz w:val="19"/>
          <w:szCs w:val="19"/>
          <w:vertAlign w:val="subscript"/>
        </w:rPr>
        <w:t>DA</w:t>
      </w:r>
      <w:r>
        <w:rPr>
          <w:rFonts w:ascii="Tahoma" w:eastAsia="Times New Roman" w:hAnsi="Tahoma" w:cs="Tahoma"/>
          <w:sz w:val="19"/>
          <w:szCs w:val="19"/>
        </w:rPr>
        <w:t xml:space="preserve">: Objekt obklopen objekty nebo stromy stejné výšky nebo nižšími </w:t>
      </w:r>
    </w:p>
    <w:p w:rsidR="00000000" w:rsidRDefault="00904F06">
      <w:pPr>
        <w:pStyle w:val="Nadpis3"/>
        <w:spacing w:line="480" w:lineRule="atLeast"/>
        <w:divId w:val="885525220"/>
        <w:rPr>
          <w:rFonts w:ascii="Tahoma" w:eastAsia="Times New Roman" w:hAnsi="Tahoma" w:cs="Tahoma"/>
          <w:sz w:val="19"/>
          <w:szCs w:val="19"/>
        </w:rPr>
      </w:pPr>
      <w:r>
        <w:rPr>
          <w:rFonts w:ascii="Tahoma" w:eastAsia="Times New Roman" w:hAnsi="Tahoma" w:cs="Tahoma"/>
          <w:sz w:val="19"/>
          <w:szCs w:val="19"/>
        </w:rPr>
        <w:t>Telekomunikační vedení [T]</w:t>
      </w:r>
    </w:p>
    <w:p w:rsidR="00000000" w:rsidRDefault="00904F06">
      <w:pPr>
        <w:spacing w:line="480" w:lineRule="atLeast"/>
        <w:divId w:val="885525220"/>
        <w:rPr>
          <w:rFonts w:ascii="Tahoma" w:eastAsia="Times New Roman" w:hAnsi="Tahoma" w:cs="Tahoma"/>
          <w:sz w:val="19"/>
          <w:szCs w:val="19"/>
        </w:rPr>
      </w:pPr>
      <w:r>
        <w:rPr>
          <w:rFonts w:ascii="Tahoma" w:eastAsia="Times New Roman" w:hAnsi="Tahoma" w:cs="Tahoma"/>
          <w:sz w:val="19"/>
          <w:szCs w:val="19"/>
        </w:rPr>
        <w:t>Druh vedení: Tel</w:t>
      </w:r>
      <w:r>
        <w:rPr>
          <w:rFonts w:ascii="Tahoma" w:eastAsia="Times New Roman" w:hAnsi="Tahoma" w:cs="Tahoma"/>
          <w:sz w:val="19"/>
          <w:szCs w:val="19"/>
        </w:rPr>
        <w:t>ekomunikační nebo datové vedení</w:t>
      </w:r>
    </w:p>
    <w:p w:rsidR="00000000" w:rsidRDefault="00904F06">
      <w:pPr>
        <w:pStyle w:val="Nadpis4"/>
        <w:spacing w:line="480" w:lineRule="atLeast"/>
        <w:divId w:val="885525220"/>
        <w:rPr>
          <w:rFonts w:ascii="Tahoma" w:eastAsia="Times New Roman" w:hAnsi="Tahoma" w:cs="Tahoma"/>
        </w:rPr>
      </w:pPr>
      <w:r>
        <w:rPr>
          <w:rFonts w:ascii="Tahoma" w:eastAsia="Times New Roman" w:hAnsi="Tahoma" w:cs="Tahoma"/>
        </w:rPr>
        <w:t>Telefonní kabel (CETIN)</w:t>
      </w:r>
    </w:p>
    <w:p w:rsidR="00000000" w:rsidRDefault="00904F06">
      <w:pPr>
        <w:spacing w:line="480" w:lineRule="atLeast"/>
        <w:divId w:val="192235484"/>
        <w:rPr>
          <w:rFonts w:ascii="Tahoma" w:eastAsia="Times New Roman" w:hAnsi="Tahoma" w:cs="Tahoma"/>
          <w:sz w:val="19"/>
          <w:szCs w:val="19"/>
        </w:rPr>
      </w:pPr>
      <w:r>
        <w:rPr>
          <w:rFonts w:ascii="Tahoma" w:eastAsia="Times New Roman" w:hAnsi="Tahoma" w:cs="Tahoma"/>
          <w:sz w:val="19"/>
          <w:szCs w:val="19"/>
        </w:rPr>
        <w:t>Kabelové vedení</w:t>
      </w:r>
      <w:r>
        <w:rPr>
          <w:rFonts w:ascii="Tahoma" w:eastAsia="Times New Roman" w:hAnsi="Tahoma" w:cs="Tahoma"/>
          <w:sz w:val="19"/>
          <w:szCs w:val="19"/>
        </w:rPr>
        <w:br/>
        <w:t>Rezistivita půdy: 400 ?m</w:t>
      </w:r>
      <w:r>
        <w:rPr>
          <w:rFonts w:ascii="Tahoma" w:eastAsia="Times New Roman" w:hAnsi="Tahoma" w:cs="Tahoma"/>
          <w:sz w:val="19"/>
          <w:szCs w:val="19"/>
        </w:rPr>
        <w:br/>
      </w:r>
      <w:r>
        <w:rPr>
          <w:rFonts w:ascii="Tahoma" w:eastAsia="Times New Roman" w:hAnsi="Tahoma" w:cs="Tahoma"/>
          <w:sz w:val="19"/>
          <w:szCs w:val="19"/>
        </w:rPr>
        <w:lastRenderedPageBreak/>
        <w:t>Délka sekce: 1 000 m</w:t>
      </w:r>
      <w:r>
        <w:rPr>
          <w:rFonts w:ascii="Tahoma" w:eastAsia="Times New Roman" w:hAnsi="Tahoma" w:cs="Tahoma"/>
          <w:sz w:val="19"/>
          <w:szCs w:val="19"/>
        </w:rPr>
        <w:br/>
        <w:t xml:space="preserve">Činitel prostředí: Městské s vysokými budovami (více než 20 m) </w:t>
      </w:r>
    </w:p>
    <w:p w:rsidR="00000000" w:rsidRDefault="00904F06">
      <w:pPr>
        <w:pStyle w:val="Nadpis4"/>
        <w:spacing w:line="480" w:lineRule="atLeast"/>
        <w:divId w:val="1014767277"/>
        <w:rPr>
          <w:rFonts w:ascii="Tahoma" w:eastAsia="Times New Roman" w:hAnsi="Tahoma" w:cs="Tahoma"/>
        </w:rPr>
      </w:pPr>
      <w:r>
        <w:rPr>
          <w:rFonts w:ascii="Tahoma" w:eastAsia="Times New Roman" w:hAnsi="Tahoma" w:cs="Tahoma"/>
        </w:rPr>
        <w:t>Přilehlá stavba (ovlivňuje R</w:t>
      </w:r>
      <w:r>
        <w:rPr>
          <w:rFonts w:ascii="Tahoma" w:eastAsia="Times New Roman" w:hAnsi="Tahoma" w:cs="Tahoma"/>
          <w:vertAlign w:val="subscript"/>
        </w:rPr>
        <w:t>U</w:t>
      </w:r>
      <w:r>
        <w:rPr>
          <w:rFonts w:ascii="Tahoma" w:eastAsia="Times New Roman" w:hAnsi="Tahoma" w:cs="Tahoma"/>
        </w:rPr>
        <w:t>, R</w:t>
      </w:r>
      <w:r>
        <w:rPr>
          <w:rFonts w:ascii="Tahoma" w:eastAsia="Times New Roman" w:hAnsi="Tahoma" w:cs="Tahoma"/>
          <w:vertAlign w:val="subscript"/>
        </w:rPr>
        <w:t>V</w:t>
      </w:r>
      <w:r>
        <w:rPr>
          <w:rFonts w:ascii="Tahoma" w:eastAsia="Times New Roman" w:hAnsi="Tahoma" w:cs="Tahoma"/>
        </w:rPr>
        <w:t>, R</w:t>
      </w:r>
      <w:r>
        <w:rPr>
          <w:rFonts w:ascii="Tahoma" w:eastAsia="Times New Roman" w:hAnsi="Tahoma" w:cs="Tahoma"/>
          <w:vertAlign w:val="subscript"/>
        </w:rPr>
        <w:t>W</w:t>
      </w:r>
      <w:r>
        <w:rPr>
          <w:rFonts w:ascii="Tahoma" w:eastAsia="Times New Roman" w:hAnsi="Tahoma" w:cs="Tahoma"/>
        </w:rPr>
        <w:t>)</w:t>
      </w:r>
    </w:p>
    <w:p w:rsidR="00000000" w:rsidRDefault="00904F06">
      <w:pPr>
        <w:spacing w:line="480" w:lineRule="atLeast"/>
        <w:divId w:val="1450008924"/>
        <w:rPr>
          <w:rFonts w:ascii="Tahoma" w:eastAsia="Times New Roman" w:hAnsi="Tahoma" w:cs="Tahoma"/>
          <w:sz w:val="19"/>
          <w:szCs w:val="19"/>
        </w:rPr>
      </w:pPr>
      <w:r>
        <w:rPr>
          <w:rFonts w:ascii="Tahoma" w:eastAsia="Times New Roman" w:hAnsi="Tahoma" w:cs="Tahoma"/>
          <w:sz w:val="19"/>
          <w:szCs w:val="19"/>
        </w:rPr>
        <w:t>Sběrná plocha A</w:t>
      </w:r>
      <w:r>
        <w:rPr>
          <w:rFonts w:ascii="Tahoma" w:eastAsia="Times New Roman" w:hAnsi="Tahoma" w:cs="Tahoma"/>
          <w:sz w:val="19"/>
          <w:szCs w:val="19"/>
          <w:vertAlign w:val="subscript"/>
        </w:rPr>
        <w:t>DJ</w:t>
      </w:r>
      <w:r>
        <w:rPr>
          <w:rFonts w:ascii="Tahoma" w:eastAsia="Times New Roman" w:hAnsi="Tahoma" w:cs="Tahoma"/>
          <w:sz w:val="19"/>
          <w:szCs w:val="19"/>
        </w:rPr>
        <w:t>: 135 798,061581</w:t>
      </w:r>
      <w:r>
        <w:rPr>
          <w:rFonts w:ascii="Tahoma" w:eastAsia="Times New Roman" w:hAnsi="Tahoma" w:cs="Tahoma"/>
          <w:sz w:val="19"/>
          <w:szCs w:val="19"/>
        </w:rPr>
        <w:t>9341 m</w:t>
      </w:r>
      <w:r>
        <w:rPr>
          <w:rFonts w:ascii="Tahoma" w:eastAsia="Times New Roman" w:hAnsi="Tahoma" w:cs="Tahoma"/>
          <w:sz w:val="19"/>
          <w:szCs w:val="19"/>
          <w:vertAlign w:val="superscript"/>
        </w:rPr>
        <w:t>2</w:t>
      </w:r>
      <w:r>
        <w:rPr>
          <w:rFonts w:ascii="Tahoma" w:eastAsia="Times New Roman" w:hAnsi="Tahoma" w:cs="Tahoma"/>
          <w:sz w:val="19"/>
          <w:szCs w:val="19"/>
        </w:rPr>
        <w:br/>
        <w:t>délka L</w:t>
      </w:r>
      <w:r>
        <w:rPr>
          <w:rFonts w:ascii="Tahoma" w:eastAsia="Times New Roman" w:hAnsi="Tahoma" w:cs="Tahoma"/>
          <w:sz w:val="19"/>
          <w:szCs w:val="19"/>
          <w:vertAlign w:val="subscript"/>
        </w:rPr>
        <w:t>J</w:t>
      </w:r>
      <w:r>
        <w:rPr>
          <w:rFonts w:ascii="Tahoma" w:eastAsia="Times New Roman" w:hAnsi="Tahoma" w:cs="Tahoma"/>
          <w:sz w:val="19"/>
          <w:szCs w:val="19"/>
        </w:rPr>
        <w:t>: 23,7 m</w:t>
      </w:r>
      <w:r>
        <w:rPr>
          <w:rFonts w:ascii="Tahoma" w:eastAsia="Times New Roman" w:hAnsi="Tahoma" w:cs="Tahoma"/>
          <w:sz w:val="19"/>
          <w:szCs w:val="19"/>
        </w:rPr>
        <w:br/>
        <w:t>šířka W</w:t>
      </w:r>
      <w:r>
        <w:rPr>
          <w:rFonts w:ascii="Tahoma" w:eastAsia="Times New Roman" w:hAnsi="Tahoma" w:cs="Tahoma"/>
          <w:sz w:val="19"/>
          <w:szCs w:val="19"/>
          <w:vertAlign w:val="subscript"/>
        </w:rPr>
        <w:t>J</w:t>
      </w:r>
      <w:r>
        <w:rPr>
          <w:rFonts w:ascii="Tahoma" w:eastAsia="Times New Roman" w:hAnsi="Tahoma" w:cs="Tahoma"/>
          <w:sz w:val="19"/>
          <w:szCs w:val="19"/>
        </w:rPr>
        <w:t>: 26,7 m</w:t>
      </w:r>
      <w:r>
        <w:rPr>
          <w:rFonts w:ascii="Tahoma" w:eastAsia="Times New Roman" w:hAnsi="Tahoma" w:cs="Tahoma"/>
          <w:sz w:val="19"/>
          <w:szCs w:val="19"/>
        </w:rPr>
        <w:br/>
        <w:t>výška H</w:t>
      </w:r>
      <w:r>
        <w:rPr>
          <w:rFonts w:ascii="Tahoma" w:eastAsia="Times New Roman" w:hAnsi="Tahoma" w:cs="Tahoma"/>
          <w:sz w:val="19"/>
          <w:szCs w:val="19"/>
          <w:vertAlign w:val="subscript"/>
        </w:rPr>
        <w:t>J</w:t>
      </w:r>
      <w:r>
        <w:rPr>
          <w:rFonts w:ascii="Tahoma" w:eastAsia="Times New Roman" w:hAnsi="Tahoma" w:cs="Tahoma"/>
          <w:sz w:val="19"/>
          <w:szCs w:val="19"/>
        </w:rPr>
        <w:t>: 64 m</w:t>
      </w:r>
      <w:r>
        <w:rPr>
          <w:rFonts w:ascii="Tahoma" w:eastAsia="Times New Roman" w:hAnsi="Tahoma" w:cs="Tahoma"/>
          <w:sz w:val="19"/>
          <w:szCs w:val="19"/>
        </w:rPr>
        <w:br/>
        <w:t>Činitel polohy C</w:t>
      </w:r>
      <w:r>
        <w:rPr>
          <w:rFonts w:ascii="Tahoma" w:eastAsia="Times New Roman" w:hAnsi="Tahoma" w:cs="Tahoma"/>
          <w:sz w:val="19"/>
          <w:szCs w:val="19"/>
          <w:vertAlign w:val="subscript"/>
        </w:rPr>
        <w:t>DA</w:t>
      </w:r>
      <w:r>
        <w:rPr>
          <w:rFonts w:ascii="Tahoma" w:eastAsia="Times New Roman" w:hAnsi="Tahoma" w:cs="Tahoma"/>
          <w:sz w:val="19"/>
          <w:szCs w:val="19"/>
        </w:rPr>
        <w:t xml:space="preserve">: Osamocený objekt, žádné jiné objekty v sousedství </w:t>
      </w:r>
    </w:p>
    <w:p w:rsidR="00000000" w:rsidRDefault="00904F06">
      <w:pPr>
        <w:pStyle w:val="Nadpis3"/>
        <w:spacing w:line="480" w:lineRule="atLeast"/>
        <w:divId w:val="885525220"/>
        <w:rPr>
          <w:rFonts w:ascii="Tahoma" w:eastAsia="Times New Roman" w:hAnsi="Tahoma" w:cs="Tahoma"/>
          <w:sz w:val="19"/>
          <w:szCs w:val="19"/>
        </w:rPr>
      </w:pPr>
      <w:r>
        <w:rPr>
          <w:rFonts w:ascii="Tahoma" w:eastAsia="Times New Roman" w:hAnsi="Tahoma" w:cs="Tahoma"/>
          <w:sz w:val="19"/>
          <w:szCs w:val="19"/>
        </w:rPr>
        <w:t>Datové vedení [T]</w:t>
      </w:r>
    </w:p>
    <w:p w:rsidR="00000000" w:rsidRDefault="00904F06">
      <w:pPr>
        <w:spacing w:line="480" w:lineRule="atLeast"/>
        <w:divId w:val="885525220"/>
        <w:rPr>
          <w:rFonts w:ascii="Tahoma" w:eastAsia="Times New Roman" w:hAnsi="Tahoma" w:cs="Tahoma"/>
          <w:sz w:val="19"/>
          <w:szCs w:val="19"/>
        </w:rPr>
      </w:pPr>
      <w:r>
        <w:rPr>
          <w:rFonts w:ascii="Tahoma" w:eastAsia="Times New Roman" w:hAnsi="Tahoma" w:cs="Tahoma"/>
          <w:sz w:val="19"/>
          <w:szCs w:val="19"/>
        </w:rPr>
        <w:t>Druh vedení: Telekomunikační nebo datové vedení</w:t>
      </w:r>
    </w:p>
    <w:p w:rsidR="00000000" w:rsidRDefault="00904F06">
      <w:pPr>
        <w:pStyle w:val="Nadpis4"/>
        <w:spacing w:line="480" w:lineRule="atLeast"/>
        <w:divId w:val="885525220"/>
        <w:rPr>
          <w:rFonts w:ascii="Tahoma" w:eastAsia="Times New Roman" w:hAnsi="Tahoma" w:cs="Tahoma"/>
        </w:rPr>
      </w:pPr>
      <w:r>
        <w:rPr>
          <w:rFonts w:ascii="Tahoma" w:eastAsia="Times New Roman" w:hAnsi="Tahoma" w:cs="Tahoma"/>
        </w:rPr>
        <w:t>Kabelová TV</w:t>
      </w:r>
    </w:p>
    <w:p w:rsidR="00000000" w:rsidRDefault="00904F06">
      <w:pPr>
        <w:spacing w:line="480" w:lineRule="atLeast"/>
        <w:divId w:val="1392969136"/>
        <w:rPr>
          <w:rFonts w:ascii="Tahoma" w:eastAsia="Times New Roman" w:hAnsi="Tahoma" w:cs="Tahoma"/>
          <w:sz w:val="19"/>
          <w:szCs w:val="19"/>
        </w:rPr>
      </w:pPr>
      <w:r>
        <w:rPr>
          <w:rFonts w:ascii="Tahoma" w:eastAsia="Times New Roman" w:hAnsi="Tahoma" w:cs="Tahoma"/>
          <w:sz w:val="19"/>
          <w:szCs w:val="19"/>
        </w:rPr>
        <w:t>Kabelové vedení</w:t>
      </w:r>
      <w:r>
        <w:rPr>
          <w:rFonts w:ascii="Tahoma" w:eastAsia="Times New Roman" w:hAnsi="Tahoma" w:cs="Tahoma"/>
          <w:sz w:val="19"/>
          <w:szCs w:val="19"/>
        </w:rPr>
        <w:br/>
        <w:t>Rezistivita půdy: 400 ?m</w:t>
      </w:r>
      <w:r>
        <w:rPr>
          <w:rFonts w:ascii="Tahoma" w:eastAsia="Times New Roman" w:hAnsi="Tahoma" w:cs="Tahoma"/>
          <w:sz w:val="19"/>
          <w:szCs w:val="19"/>
        </w:rPr>
        <w:br/>
        <w:t>Délka s</w:t>
      </w:r>
      <w:r>
        <w:rPr>
          <w:rFonts w:ascii="Tahoma" w:eastAsia="Times New Roman" w:hAnsi="Tahoma" w:cs="Tahoma"/>
          <w:sz w:val="19"/>
          <w:szCs w:val="19"/>
        </w:rPr>
        <w:t>ekce: 1 000 m</w:t>
      </w:r>
      <w:r>
        <w:rPr>
          <w:rFonts w:ascii="Tahoma" w:eastAsia="Times New Roman" w:hAnsi="Tahoma" w:cs="Tahoma"/>
          <w:sz w:val="19"/>
          <w:szCs w:val="19"/>
        </w:rPr>
        <w:br/>
        <w:t xml:space="preserve">Činitel prostředí: Městské s vysokými budovami (více než 20 m) </w:t>
      </w:r>
    </w:p>
    <w:p w:rsidR="00000000" w:rsidRDefault="00904F06">
      <w:pPr>
        <w:pStyle w:val="Nadpis4"/>
        <w:spacing w:line="480" w:lineRule="atLeast"/>
        <w:divId w:val="235212026"/>
        <w:rPr>
          <w:rFonts w:ascii="Tahoma" w:eastAsia="Times New Roman" w:hAnsi="Tahoma" w:cs="Tahoma"/>
        </w:rPr>
      </w:pPr>
      <w:r>
        <w:rPr>
          <w:rFonts w:ascii="Tahoma" w:eastAsia="Times New Roman" w:hAnsi="Tahoma" w:cs="Tahoma"/>
        </w:rPr>
        <w:t>Přilehlá stavba (ovlivňuje R</w:t>
      </w:r>
      <w:r>
        <w:rPr>
          <w:rFonts w:ascii="Tahoma" w:eastAsia="Times New Roman" w:hAnsi="Tahoma" w:cs="Tahoma"/>
          <w:vertAlign w:val="subscript"/>
        </w:rPr>
        <w:t>U</w:t>
      </w:r>
      <w:r>
        <w:rPr>
          <w:rFonts w:ascii="Tahoma" w:eastAsia="Times New Roman" w:hAnsi="Tahoma" w:cs="Tahoma"/>
        </w:rPr>
        <w:t>, R</w:t>
      </w:r>
      <w:r>
        <w:rPr>
          <w:rFonts w:ascii="Tahoma" w:eastAsia="Times New Roman" w:hAnsi="Tahoma" w:cs="Tahoma"/>
          <w:vertAlign w:val="subscript"/>
        </w:rPr>
        <w:t>V</w:t>
      </w:r>
      <w:r>
        <w:rPr>
          <w:rFonts w:ascii="Tahoma" w:eastAsia="Times New Roman" w:hAnsi="Tahoma" w:cs="Tahoma"/>
        </w:rPr>
        <w:t>, R</w:t>
      </w:r>
      <w:r>
        <w:rPr>
          <w:rFonts w:ascii="Tahoma" w:eastAsia="Times New Roman" w:hAnsi="Tahoma" w:cs="Tahoma"/>
          <w:vertAlign w:val="subscript"/>
        </w:rPr>
        <w:t>W</w:t>
      </w:r>
      <w:r>
        <w:rPr>
          <w:rFonts w:ascii="Tahoma" w:eastAsia="Times New Roman" w:hAnsi="Tahoma" w:cs="Tahoma"/>
        </w:rPr>
        <w:t>)</w:t>
      </w:r>
    </w:p>
    <w:p w:rsidR="00000000" w:rsidRDefault="00904F06">
      <w:pPr>
        <w:spacing w:line="480" w:lineRule="atLeast"/>
        <w:divId w:val="956910577"/>
        <w:rPr>
          <w:rFonts w:ascii="Tahoma" w:eastAsia="Times New Roman" w:hAnsi="Tahoma" w:cs="Tahoma"/>
          <w:sz w:val="19"/>
          <w:szCs w:val="19"/>
        </w:rPr>
      </w:pPr>
      <w:r>
        <w:rPr>
          <w:rFonts w:ascii="Tahoma" w:eastAsia="Times New Roman" w:hAnsi="Tahoma" w:cs="Tahoma"/>
          <w:sz w:val="19"/>
          <w:szCs w:val="19"/>
        </w:rPr>
        <w:t>Sběrná plocha A</w:t>
      </w:r>
      <w:r>
        <w:rPr>
          <w:rFonts w:ascii="Tahoma" w:eastAsia="Times New Roman" w:hAnsi="Tahoma" w:cs="Tahoma"/>
          <w:sz w:val="19"/>
          <w:szCs w:val="19"/>
          <w:vertAlign w:val="subscript"/>
        </w:rPr>
        <w:t>DJ</w:t>
      </w:r>
      <w:r>
        <w:rPr>
          <w:rFonts w:ascii="Tahoma" w:eastAsia="Times New Roman" w:hAnsi="Tahoma" w:cs="Tahoma"/>
          <w:sz w:val="19"/>
          <w:szCs w:val="19"/>
        </w:rPr>
        <w:t>: 135 798,0615819341 m</w:t>
      </w:r>
      <w:r>
        <w:rPr>
          <w:rFonts w:ascii="Tahoma" w:eastAsia="Times New Roman" w:hAnsi="Tahoma" w:cs="Tahoma"/>
          <w:sz w:val="19"/>
          <w:szCs w:val="19"/>
          <w:vertAlign w:val="superscript"/>
        </w:rPr>
        <w:t>2</w:t>
      </w:r>
      <w:r>
        <w:rPr>
          <w:rFonts w:ascii="Tahoma" w:eastAsia="Times New Roman" w:hAnsi="Tahoma" w:cs="Tahoma"/>
          <w:sz w:val="19"/>
          <w:szCs w:val="19"/>
        </w:rPr>
        <w:br/>
        <w:t>délka L</w:t>
      </w:r>
      <w:r>
        <w:rPr>
          <w:rFonts w:ascii="Tahoma" w:eastAsia="Times New Roman" w:hAnsi="Tahoma" w:cs="Tahoma"/>
          <w:sz w:val="19"/>
          <w:szCs w:val="19"/>
          <w:vertAlign w:val="subscript"/>
        </w:rPr>
        <w:t>J</w:t>
      </w:r>
      <w:r>
        <w:rPr>
          <w:rFonts w:ascii="Tahoma" w:eastAsia="Times New Roman" w:hAnsi="Tahoma" w:cs="Tahoma"/>
          <w:sz w:val="19"/>
          <w:szCs w:val="19"/>
        </w:rPr>
        <w:t>: 23,7 m</w:t>
      </w:r>
      <w:r>
        <w:rPr>
          <w:rFonts w:ascii="Tahoma" w:eastAsia="Times New Roman" w:hAnsi="Tahoma" w:cs="Tahoma"/>
          <w:sz w:val="19"/>
          <w:szCs w:val="19"/>
        </w:rPr>
        <w:br/>
        <w:t>šířka W</w:t>
      </w:r>
      <w:r>
        <w:rPr>
          <w:rFonts w:ascii="Tahoma" w:eastAsia="Times New Roman" w:hAnsi="Tahoma" w:cs="Tahoma"/>
          <w:sz w:val="19"/>
          <w:szCs w:val="19"/>
          <w:vertAlign w:val="subscript"/>
        </w:rPr>
        <w:t>J</w:t>
      </w:r>
      <w:r>
        <w:rPr>
          <w:rFonts w:ascii="Tahoma" w:eastAsia="Times New Roman" w:hAnsi="Tahoma" w:cs="Tahoma"/>
          <w:sz w:val="19"/>
          <w:szCs w:val="19"/>
        </w:rPr>
        <w:t>: 26,7 m</w:t>
      </w:r>
      <w:r>
        <w:rPr>
          <w:rFonts w:ascii="Tahoma" w:eastAsia="Times New Roman" w:hAnsi="Tahoma" w:cs="Tahoma"/>
          <w:sz w:val="19"/>
          <w:szCs w:val="19"/>
        </w:rPr>
        <w:br/>
        <w:t>výška H</w:t>
      </w:r>
      <w:r>
        <w:rPr>
          <w:rFonts w:ascii="Tahoma" w:eastAsia="Times New Roman" w:hAnsi="Tahoma" w:cs="Tahoma"/>
          <w:sz w:val="19"/>
          <w:szCs w:val="19"/>
          <w:vertAlign w:val="subscript"/>
        </w:rPr>
        <w:t>J</w:t>
      </w:r>
      <w:r>
        <w:rPr>
          <w:rFonts w:ascii="Tahoma" w:eastAsia="Times New Roman" w:hAnsi="Tahoma" w:cs="Tahoma"/>
          <w:sz w:val="19"/>
          <w:szCs w:val="19"/>
        </w:rPr>
        <w:t>: 64 m</w:t>
      </w:r>
      <w:r>
        <w:rPr>
          <w:rFonts w:ascii="Tahoma" w:eastAsia="Times New Roman" w:hAnsi="Tahoma" w:cs="Tahoma"/>
          <w:sz w:val="19"/>
          <w:szCs w:val="19"/>
        </w:rPr>
        <w:br/>
        <w:t>Činitel polohy C</w:t>
      </w:r>
      <w:r>
        <w:rPr>
          <w:rFonts w:ascii="Tahoma" w:eastAsia="Times New Roman" w:hAnsi="Tahoma" w:cs="Tahoma"/>
          <w:sz w:val="19"/>
          <w:szCs w:val="19"/>
          <w:vertAlign w:val="subscript"/>
        </w:rPr>
        <w:t>DA</w:t>
      </w:r>
      <w:r>
        <w:rPr>
          <w:rFonts w:ascii="Tahoma" w:eastAsia="Times New Roman" w:hAnsi="Tahoma" w:cs="Tahoma"/>
          <w:sz w:val="19"/>
          <w:szCs w:val="19"/>
        </w:rPr>
        <w:t>: Osamocený objekt, žádné jiné</w:t>
      </w:r>
      <w:r>
        <w:rPr>
          <w:rFonts w:ascii="Tahoma" w:eastAsia="Times New Roman" w:hAnsi="Tahoma" w:cs="Tahoma"/>
          <w:sz w:val="19"/>
          <w:szCs w:val="19"/>
        </w:rPr>
        <w:t xml:space="preserve"> objekty v sousedství </w:t>
      </w:r>
    </w:p>
    <w:p w:rsidR="00000000" w:rsidRDefault="00904F06">
      <w:pPr>
        <w:pStyle w:val="Nadpis3"/>
        <w:spacing w:line="480" w:lineRule="atLeast"/>
        <w:divId w:val="885525220"/>
        <w:rPr>
          <w:rFonts w:ascii="Tahoma" w:eastAsia="Times New Roman" w:hAnsi="Tahoma" w:cs="Tahoma"/>
          <w:sz w:val="19"/>
          <w:szCs w:val="19"/>
        </w:rPr>
      </w:pPr>
      <w:r>
        <w:rPr>
          <w:rFonts w:ascii="Tahoma" w:eastAsia="Times New Roman" w:hAnsi="Tahoma" w:cs="Tahoma"/>
          <w:sz w:val="19"/>
          <w:szCs w:val="19"/>
        </w:rPr>
        <w:t>LPZ</w:t>
      </w:r>
    </w:p>
    <w:p w:rsidR="00000000" w:rsidRDefault="00904F06">
      <w:pPr>
        <w:spacing w:after="240" w:line="480" w:lineRule="atLeast"/>
        <w:divId w:val="885525220"/>
        <w:rPr>
          <w:rFonts w:ascii="Tahoma" w:eastAsia="Times New Roman" w:hAnsi="Tahoma" w:cs="Tahoma"/>
          <w:sz w:val="19"/>
          <w:szCs w:val="19"/>
        </w:rPr>
      </w:pPr>
      <w:r>
        <w:rPr>
          <w:rFonts w:ascii="Tahoma" w:eastAsia="Times New Roman" w:hAnsi="Tahoma" w:cs="Tahoma"/>
          <w:sz w:val="19"/>
          <w:szCs w:val="19"/>
        </w:rPr>
        <w:lastRenderedPageBreak/>
        <w:t>LPS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C</w:t>
      </w:r>
      <w:r>
        <w:rPr>
          <w:rFonts w:ascii="Tahoma" w:eastAsia="Times New Roman" w:hAnsi="Tahoma" w:cs="Tahoma"/>
          <w:sz w:val="19"/>
          <w:szCs w:val="19"/>
        </w:rPr>
        <w:t xml:space="preserve">): LPS II </w:t>
      </w:r>
      <w:r>
        <w:rPr>
          <w:rFonts w:ascii="Tahoma" w:eastAsia="Times New Roman" w:hAnsi="Tahoma" w:cs="Tahoma"/>
          <w:sz w:val="19"/>
          <w:szCs w:val="19"/>
        </w:rPr>
        <w:br/>
        <w:t>SPD na vstupu: LPL II</w:t>
      </w:r>
      <w:r>
        <w:rPr>
          <w:rFonts w:ascii="Tahoma" w:eastAsia="Times New Roman" w:hAnsi="Tahoma" w:cs="Tahoma"/>
          <w:sz w:val="19"/>
          <w:szCs w:val="19"/>
        </w:rPr>
        <w:br/>
        <w:t>Pro vnitřní ochranu je navržena ochrana SPD v souladu s ČSN EN 62 305 a ČSN EN 61643-11 výrobce Hakel spol. s r.o.</w:t>
      </w:r>
      <w:r>
        <w:rPr>
          <w:rFonts w:ascii="Tahoma" w:eastAsia="Times New Roman" w:hAnsi="Tahoma" w:cs="Tahoma"/>
          <w:sz w:val="19"/>
          <w:szCs w:val="19"/>
        </w:rPr>
        <w:br/>
        <w:t>Návrh konkrétních přístrojů v závislosti na typu sítě:</w:t>
      </w:r>
      <w:r>
        <w:rPr>
          <w:rFonts w:ascii="Tahoma" w:eastAsia="Times New Roman" w:hAnsi="Tahoma" w:cs="Tahoma"/>
          <w:sz w:val="19"/>
          <w:szCs w:val="19"/>
        </w:rPr>
        <w:br/>
      </w:r>
      <w:r>
        <w:rPr>
          <w:rFonts w:ascii="Tahoma" w:eastAsia="Times New Roman" w:hAnsi="Tahoma" w:cs="Tahoma"/>
          <w:sz w:val="19"/>
          <w:szCs w:val="19"/>
        </w:rPr>
        <w:t>3-FÁZOVÁ TN-C: SPC25/3+0</w:t>
      </w:r>
      <w:r>
        <w:rPr>
          <w:rFonts w:ascii="Tahoma" w:eastAsia="Times New Roman" w:hAnsi="Tahoma" w:cs="Tahoma"/>
          <w:sz w:val="19"/>
          <w:szCs w:val="19"/>
        </w:rPr>
        <w:br/>
        <w:t>3-FÁZOVÁ TN-C: SPC25/3+1</w:t>
      </w:r>
    </w:p>
    <w:p w:rsidR="00000000" w:rsidRDefault="00904F06">
      <w:pPr>
        <w:pStyle w:val="Nadpis3"/>
        <w:spacing w:line="480" w:lineRule="atLeast"/>
        <w:divId w:val="885525220"/>
        <w:rPr>
          <w:rFonts w:ascii="Tahoma" w:eastAsia="Times New Roman" w:hAnsi="Tahoma" w:cs="Tahoma"/>
          <w:sz w:val="19"/>
          <w:szCs w:val="19"/>
        </w:rPr>
      </w:pPr>
      <w:r>
        <w:rPr>
          <w:rFonts w:ascii="Tahoma" w:eastAsia="Times New Roman" w:hAnsi="Tahoma" w:cs="Tahoma"/>
          <w:sz w:val="19"/>
          <w:szCs w:val="19"/>
        </w:rPr>
        <w:t>Zóny</w:t>
      </w:r>
    </w:p>
    <w:p w:rsidR="00000000" w:rsidRDefault="00904F06">
      <w:pPr>
        <w:pStyle w:val="Nadpis4"/>
        <w:spacing w:line="480" w:lineRule="atLeast"/>
        <w:divId w:val="1935672233"/>
        <w:rPr>
          <w:rFonts w:ascii="Tahoma" w:eastAsia="Times New Roman" w:hAnsi="Tahoma" w:cs="Tahoma"/>
        </w:rPr>
      </w:pPr>
      <w:r>
        <w:rPr>
          <w:rFonts w:ascii="Tahoma" w:eastAsia="Times New Roman" w:hAnsi="Tahoma" w:cs="Tahoma"/>
        </w:rPr>
        <w:t>23.NP - klima jednotky</w:t>
      </w:r>
    </w:p>
    <w:p w:rsidR="00000000" w:rsidRDefault="00904F06">
      <w:pPr>
        <w:spacing w:line="480" w:lineRule="atLeast"/>
        <w:divId w:val="833374366"/>
        <w:rPr>
          <w:rFonts w:ascii="Tahoma" w:eastAsia="Times New Roman" w:hAnsi="Tahoma" w:cs="Tahoma"/>
          <w:sz w:val="19"/>
          <w:szCs w:val="19"/>
        </w:rPr>
      </w:pPr>
      <w:r>
        <w:rPr>
          <w:rFonts w:ascii="Tahoma" w:eastAsia="Times New Roman" w:hAnsi="Tahoma" w:cs="Tahoma"/>
          <w:sz w:val="19"/>
          <w:szCs w:val="19"/>
        </w:rPr>
        <w:t>Riziko požáru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Obvyklé (400 MJ/m2 &lt; měrné požární zatížení &lt; 800 MJ/m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Opatření ke zmenšení následků požáru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w:t>
      </w:r>
    </w:p>
    <w:p w:rsidR="00000000" w:rsidRDefault="00904F06">
      <w:pPr>
        <w:spacing w:line="480" w:lineRule="atLeast"/>
        <w:divId w:val="1593008361"/>
        <w:rPr>
          <w:rFonts w:ascii="Tahoma" w:eastAsia="Times New Roman" w:hAnsi="Tahoma" w:cs="Tahoma"/>
          <w:sz w:val="19"/>
          <w:szCs w:val="19"/>
        </w:rPr>
      </w:pPr>
      <w:r>
        <w:rPr>
          <w:rFonts w:ascii="Tahoma" w:eastAsia="Times New Roman" w:hAnsi="Tahoma" w:cs="Tahoma"/>
          <w:sz w:val="19"/>
          <w:szCs w:val="19"/>
        </w:rPr>
        <w:t>Jedno z následujících: ha</w:t>
      </w:r>
      <w:r>
        <w:rPr>
          <w:rFonts w:ascii="Tahoma" w:eastAsia="Times New Roman" w:hAnsi="Tahoma" w:cs="Tahoma"/>
          <w:sz w:val="19"/>
          <w:szCs w:val="19"/>
        </w:rPr>
        <w:t>sicí přístroje, pevná ručně ovládaná hasicí instalace,ruční poplachové instalace, hydranty, ohnivzdorné úseky, chráněné únikové cesty</w:t>
      </w:r>
    </w:p>
    <w:p w:rsidR="00000000" w:rsidRDefault="00904F06">
      <w:pPr>
        <w:spacing w:line="480" w:lineRule="atLeast"/>
        <w:divId w:val="833374366"/>
        <w:rPr>
          <w:rFonts w:ascii="Tahoma" w:eastAsia="Times New Roman" w:hAnsi="Tahoma" w:cs="Tahoma"/>
          <w:sz w:val="19"/>
          <w:szCs w:val="19"/>
        </w:rPr>
      </w:pPr>
      <w:r>
        <w:rPr>
          <w:rFonts w:ascii="Tahoma" w:eastAsia="Times New Roman" w:hAnsi="Tahoma" w:cs="Tahoma"/>
          <w:sz w:val="19"/>
          <w:szCs w:val="19"/>
        </w:rPr>
        <w:t>Druh zvláštního rizika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xml:space="preserve">): Žádné zvláštní riziko </w:t>
      </w:r>
      <w:r>
        <w:rPr>
          <w:rFonts w:ascii="Tahoma" w:eastAsia="Times New Roman" w:hAnsi="Tahoma" w:cs="Tahoma"/>
          <w:sz w:val="19"/>
          <w:szCs w:val="19"/>
        </w:rPr>
        <w:br/>
        <w:t>Ochrannná opatření proti úrazu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w:t>
      </w:r>
    </w:p>
    <w:p w:rsidR="00000000" w:rsidRDefault="00904F06">
      <w:pPr>
        <w:spacing w:line="480" w:lineRule="atLeast"/>
        <w:divId w:val="1708871083"/>
        <w:rPr>
          <w:rFonts w:ascii="Tahoma" w:eastAsia="Times New Roman" w:hAnsi="Tahoma" w:cs="Tahoma"/>
          <w:sz w:val="19"/>
          <w:szCs w:val="19"/>
        </w:rPr>
      </w:pPr>
      <w:r>
        <w:rPr>
          <w:rFonts w:ascii="Tahoma" w:eastAsia="Times New Roman" w:hAnsi="Tahoma" w:cs="Tahoma"/>
          <w:sz w:val="19"/>
          <w:szCs w:val="19"/>
        </w:rPr>
        <w:t>Úči</w:t>
      </w:r>
      <w:r>
        <w:rPr>
          <w:rFonts w:ascii="Tahoma" w:eastAsia="Times New Roman" w:hAnsi="Tahoma" w:cs="Tahoma"/>
          <w:sz w:val="19"/>
          <w:szCs w:val="19"/>
        </w:rPr>
        <w:t>nné ekvipotenciální propojení v půdě (ovlivňuje pouze R</w:t>
      </w:r>
      <w:r>
        <w:rPr>
          <w:rFonts w:ascii="Tahoma" w:eastAsia="Times New Roman" w:hAnsi="Tahoma" w:cs="Tahoma"/>
          <w:sz w:val="19"/>
          <w:szCs w:val="19"/>
          <w:vertAlign w:val="subscript"/>
        </w:rPr>
        <w:t>A</w:t>
      </w:r>
      <w:r>
        <w:rPr>
          <w:rFonts w:ascii="Tahoma" w:eastAsia="Times New Roman" w:hAnsi="Tahoma" w:cs="Tahoma"/>
          <w:sz w:val="19"/>
          <w:szCs w:val="19"/>
        </w:rPr>
        <w:t xml:space="preserve"> )</w:t>
      </w:r>
      <w:r>
        <w:rPr>
          <w:rFonts w:ascii="Tahoma" w:eastAsia="Times New Roman" w:hAnsi="Tahoma" w:cs="Tahoma"/>
          <w:sz w:val="19"/>
          <w:szCs w:val="19"/>
        </w:rPr>
        <w:br/>
        <w:t>Fyzická omezení nebo konstrukce budovy použitá jako soustava svodů</w:t>
      </w:r>
    </w:p>
    <w:p w:rsidR="00000000" w:rsidRDefault="00904F06">
      <w:pPr>
        <w:spacing w:line="480" w:lineRule="atLeast"/>
        <w:divId w:val="833374366"/>
        <w:rPr>
          <w:rFonts w:ascii="Tahoma" w:eastAsia="Times New Roman" w:hAnsi="Tahoma" w:cs="Tahoma"/>
          <w:sz w:val="19"/>
          <w:szCs w:val="19"/>
        </w:rPr>
      </w:pPr>
      <w:r>
        <w:rPr>
          <w:rFonts w:ascii="Tahoma" w:eastAsia="Times New Roman" w:hAnsi="Tahoma" w:cs="Tahoma"/>
          <w:sz w:val="19"/>
          <w:szCs w:val="19"/>
        </w:rPr>
        <w:t>Typ podlahy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 xml:space="preserve">): Dotykový odpor &gt; 100 kOhm (Asfalt, linoleum, dřevo) </w:t>
      </w:r>
    </w:p>
    <w:p w:rsidR="00000000" w:rsidRDefault="00904F06">
      <w:pPr>
        <w:pStyle w:val="Nadpis4"/>
        <w:spacing w:line="480" w:lineRule="atLeast"/>
        <w:divId w:val="1768845654"/>
        <w:rPr>
          <w:rFonts w:ascii="Tahoma" w:eastAsia="Times New Roman" w:hAnsi="Tahoma" w:cs="Tahoma"/>
        </w:rPr>
      </w:pPr>
      <w:r>
        <w:rPr>
          <w:rFonts w:ascii="Tahoma" w:eastAsia="Times New Roman" w:hAnsi="Tahoma" w:cs="Tahoma"/>
        </w:rPr>
        <w:t>Vnitřní prostory LPZ1</w:t>
      </w:r>
    </w:p>
    <w:p w:rsidR="00000000" w:rsidRDefault="00904F06">
      <w:pPr>
        <w:spacing w:line="480" w:lineRule="atLeast"/>
        <w:divId w:val="1428573923"/>
        <w:rPr>
          <w:rFonts w:ascii="Tahoma" w:eastAsia="Times New Roman" w:hAnsi="Tahoma" w:cs="Tahoma"/>
          <w:sz w:val="19"/>
          <w:szCs w:val="19"/>
        </w:rPr>
      </w:pPr>
      <w:r>
        <w:rPr>
          <w:rFonts w:ascii="Tahoma" w:eastAsia="Times New Roman" w:hAnsi="Tahoma" w:cs="Tahoma"/>
          <w:sz w:val="19"/>
          <w:szCs w:val="19"/>
        </w:rPr>
        <w:t>Riziko požáru (ovlivň</w:t>
      </w:r>
      <w:r>
        <w:rPr>
          <w:rFonts w:ascii="Tahoma" w:eastAsia="Times New Roman" w:hAnsi="Tahoma" w:cs="Tahoma"/>
          <w:sz w:val="19"/>
          <w:szCs w:val="19"/>
        </w:rPr>
        <w:t>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Obvyklé (400 MJ/m2 &lt; měrné požární zatížení &lt; 800 MJ/m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Opatření ke zmenšení následků požáru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w:t>
      </w:r>
    </w:p>
    <w:p w:rsidR="00000000" w:rsidRDefault="00904F06">
      <w:pPr>
        <w:spacing w:line="480" w:lineRule="atLeast"/>
        <w:divId w:val="2090694395"/>
        <w:rPr>
          <w:rFonts w:ascii="Tahoma" w:eastAsia="Times New Roman" w:hAnsi="Tahoma" w:cs="Tahoma"/>
          <w:sz w:val="19"/>
          <w:szCs w:val="19"/>
        </w:rPr>
      </w:pPr>
      <w:r>
        <w:rPr>
          <w:rFonts w:ascii="Tahoma" w:eastAsia="Times New Roman" w:hAnsi="Tahoma" w:cs="Tahoma"/>
          <w:sz w:val="19"/>
          <w:szCs w:val="19"/>
        </w:rPr>
        <w:t>Jedno z následujících: hasicí přístroje, pevná ručně ovládaná hasicí instalace,ruční poplachové instalace, hydranty, ohnivzdor</w:t>
      </w:r>
      <w:r>
        <w:rPr>
          <w:rFonts w:ascii="Tahoma" w:eastAsia="Times New Roman" w:hAnsi="Tahoma" w:cs="Tahoma"/>
          <w:sz w:val="19"/>
          <w:szCs w:val="19"/>
        </w:rPr>
        <w:t>né úseky, chráněné únikové cesty</w:t>
      </w:r>
      <w:r>
        <w:rPr>
          <w:rFonts w:ascii="Tahoma" w:eastAsia="Times New Roman" w:hAnsi="Tahoma" w:cs="Tahoma"/>
          <w:sz w:val="19"/>
          <w:szCs w:val="19"/>
        </w:rPr>
        <w:br/>
        <w:t>Jedno z následujících: pevná automaticky ovládaná hasicí instalace, automaticképoplachové instalace chráněné proti přepětím a jiným škodám za předpokladu,že hasiči se mohou dostavit do 10 minut</w:t>
      </w:r>
    </w:p>
    <w:p w:rsidR="00000000" w:rsidRDefault="00904F06">
      <w:pPr>
        <w:spacing w:line="480" w:lineRule="atLeast"/>
        <w:divId w:val="1428573923"/>
        <w:rPr>
          <w:rFonts w:ascii="Tahoma" w:eastAsia="Times New Roman" w:hAnsi="Tahoma" w:cs="Tahoma"/>
          <w:sz w:val="19"/>
          <w:szCs w:val="19"/>
        </w:rPr>
      </w:pPr>
      <w:r>
        <w:rPr>
          <w:rFonts w:ascii="Tahoma" w:eastAsia="Times New Roman" w:hAnsi="Tahoma" w:cs="Tahoma"/>
          <w:sz w:val="19"/>
          <w:szCs w:val="19"/>
        </w:rPr>
        <w:lastRenderedPageBreak/>
        <w:t>Druh zvláštního rizika (ovlivňuje R</w:t>
      </w:r>
      <w:r>
        <w:rPr>
          <w:rFonts w:ascii="Tahoma" w:eastAsia="Times New Roman" w:hAnsi="Tahoma" w:cs="Tahoma"/>
          <w:sz w:val="19"/>
          <w:szCs w:val="19"/>
          <w:vertAlign w:val="subscript"/>
        </w:rPr>
        <w:t>B</w:t>
      </w:r>
      <w:r>
        <w:rPr>
          <w:rFonts w:ascii="Tahoma" w:eastAsia="Times New Roman" w:hAnsi="Tahoma" w:cs="Tahoma"/>
          <w:sz w:val="19"/>
          <w:szCs w:val="19"/>
        </w:rPr>
        <w:t>, R</w:t>
      </w:r>
      <w:r>
        <w:rPr>
          <w:rFonts w:ascii="Tahoma" w:eastAsia="Times New Roman" w:hAnsi="Tahoma" w:cs="Tahoma"/>
          <w:sz w:val="19"/>
          <w:szCs w:val="19"/>
          <w:vertAlign w:val="subscript"/>
        </w:rPr>
        <w:t>V</w:t>
      </w:r>
      <w:r>
        <w:rPr>
          <w:rFonts w:ascii="Tahoma" w:eastAsia="Times New Roman" w:hAnsi="Tahoma" w:cs="Tahoma"/>
          <w:sz w:val="19"/>
          <w:szCs w:val="19"/>
        </w:rPr>
        <w:t xml:space="preserve">): Průměrná úroveň paniky (např. stavby navržené pro kulturní a sportovní události s počtem účastníků 100 - 1000 osob) </w:t>
      </w:r>
      <w:r>
        <w:rPr>
          <w:rFonts w:ascii="Tahoma" w:eastAsia="Times New Roman" w:hAnsi="Tahoma" w:cs="Tahoma"/>
          <w:sz w:val="19"/>
          <w:szCs w:val="19"/>
        </w:rPr>
        <w:br/>
        <w:t>Ochrannná opatření proti úrazu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w:t>
      </w:r>
    </w:p>
    <w:p w:rsidR="00000000" w:rsidRDefault="00904F06">
      <w:pPr>
        <w:spacing w:line="480" w:lineRule="atLeast"/>
        <w:divId w:val="571694482"/>
        <w:rPr>
          <w:rFonts w:ascii="Tahoma" w:eastAsia="Times New Roman" w:hAnsi="Tahoma" w:cs="Tahoma"/>
          <w:sz w:val="19"/>
          <w:szCs w:val="19"/>
        </w:rPr>
      </w:pPr>
      <w:r>
        <w:rPr>
          <w:rFonts w:ascii="Tahoma" w:eastAsia="Times New Roman" w:hAnsi="Tahoma" w:cs="Tahoma"/>
          <w:sz w:val="19"/>
          <w:szCs w:val="19"/>
        </w:rPr>
        <w:t>Účinné ekvipotenciální propojení v půdě (ovl</w:t>
      </w:r>
      <w:r>
        <w:rPr>
          <w:rFonts w:ascii="Tahoma" w:eastAsia="Times New Roman" w:hAnsi="Tahoma" w:cs="Tahoma"/>
          <w:sz w:val="19"/>
          <w:szCs w:val="19"/>
        </w:rPr>
        <w:t>ivňuje pouze R</w:t>
      </w:r>
      <w:r>
        <w:rPr>
          <w:rFonts w:ascii="Tahoma" w:eastAsia="Times New Roman" w:hAnsi="Tahoma" w:cs="Tahoma"/>
          <w:sz w:val="19"/>
          <w:szCs w:val="19"/>
          <w:vertAlign w:val="subscript"/>
        </w:rPr>
        <w:t>A</w:t>
      </w:r>
      <w:r>
        <w:rPr>
          <w:rFonts w:ascii="Tahoma" w:eastAsia="Times New Roman" w:hAnsi="Tahoma" w:cs="Tahoma"/>
          <w:sz w:val="19"/>
          <w:szCs w:val="19"/>
        </w:rPr>
        <w:t xml:space="preserve"> )</w:t>
      </w:r>
      <w:r>
        <w:rPr>
          <w:rFonts w:ascii="Tahoma" w:eastAsia="Times New Roman" w:hAnsi="Tahoma" w:cs="Tahoma"/>
          <w:sz w:val="19"/>
          <w:szCs w:val="19"/>
        </w:rPr>
        <w:br/>
        <w:t>Fyzická omezení nebo konstrukce budovy použitá jako soustava svodů</w:t>
      </w:r>
    </w:p>
    <w:p w:rsidR="00000000" w:rsidRDefault="00904F06">
      <w:pPr>
        <w:spacing w:line="480" w:lineRule="atLeast"/>
        <w:divId w:val="1428573923"/>
        <w:rPr>
          <w:rFonts w:ascii="Tahoma" w:eastAsia="Times New Roman" w:hAnsi="Tahoma" w:cs="Tahoma"/>
          <w:sz w:val="19"/>
          <w:szCs w:val="19"/>
        </w:rPr>
      </w:pPr>
      <w:r>
        <w:rPr>
          <w:rFonts w:ascii="Tahoma" w:eastAsia="Times New Roman" w:hAnsi="Tahoma" w:cs="Tahoma"/>
          <w:sz w:val="19"/>
          <w:szCs w:val="19"/>
        </w:rPr>
        <w:t>Typ podlahy (ovlivňuje R</w:t>
      </w:r>
      <w:r>
        <w:rPr>
          <w:rFonts w:ascii="Tahoma" w:eastAsia="Times New Roman" w:hAnsi="Tahoma" w:cs="Tahoma"/>
          <w:sz w:val="19"/>
          <w:szCs w:val="19"/>
          <w:vertAlign w:val="subscript"/>
        </w:rPr>
        <w:t>A</w:t>
      </w:r>
      <w:r>
        <w:rPr>
          <w:rFonts w:ascii="Tahoma" w:eastAsia="Times New Roman" w:hAnsi="Tahoma" w:cs="Tahoma"/>
          <w:sz w:val="19"/>
          <w:szCs w:val="19"/>
        </w:rPr>
        <w:t>, R</w:t>
      </w:r>
      <w:r>
        <w:rPr>
          <w:rFonts w:ascii="Tahoma" w:eastAsia="Times New Roman" w:hAnsi="Tahoma" w:cs="Tahoma"/>
          <w:sz w:val="19"/>
          <w:szCs w:val="19"/>
          <w:vertAlign w:val="subscript"/>
        </w:rPr>
        <w:t>U</w:t>
      </w:r>
      <w:r>
        <w:rPr>
          <w:rFonts w:ascii="Tahoma" w:eastAsia="Times New Roman" w:hAnsi="Tahoma" w:cs="Tahoma"/>
          <w:sz w:val="19"/>
          <w:szCs w:val="19"/>
        </w:rPr>
        <w:t xml:space="preserve">): Dotykový odpor 10-100 kOhm (Štěrk, mozaika, koberec) </w:t>
      </w:r>
    </w:p>
    <w:p w:rsidR="00000000" w:rsidRDefault="00904F06">
      <w:pPr>
        <w:pStyle w:val="Nadpis4"/>
        <w:spacing w:line="480" w:lineRule="atLeast"/>
        <w:divId w:val="394278859"/>
        <w:rPr>
          <w:rFonts w:ascii="Tahoma" w:eastAsia="Times New Roman" w:hAnsi="Tahoma" w:cs="Tahoma"/>
        </w:rPr>
      </w:pPr>
      <w:r>
        <w:rPr>
          <w:rFonts w:ascii="Tahoma" w:eastAsia="Times New Roman" w:hAnsi="Tahoma" w:cs="Tahoma"/>
        </w:rPr>
        <w:t>LPZ 0/1</w:t>
      </w:r>
    </w:p>
    <w:p w:rsidR="00000000" w:rsidRDefault="00904F06">
      <w:pPr>
        <w:pStyle w:val="Nadpis4"/>
        <w:spacing w:line="480" w:lineRule="atLeast"/>
        <w:divId w:val="1204365172"/>
        <w:rPr>
          <w:rFonts w:ascii="Tahoma" w:eastAsia="Times New Roman" w:hAnsi="Tahoma" w:cs="Tahoma"/>
        </w:rPr>
      </w:pPr>
      <w:r>
        <w:rPr>
          <w:rFonts w:ascii="Tahoma" w:eastAsia="Times New Roman" w:hAnsi="Tahoma" w:cs="Tahoma"/>
        </w:rPr>
        <w:t>EPS [Silová vedení [S]]</w:t>
      </w:r>
    </w:p>
    <w:p w:rsidR="00000000" w:rsidRDefault="00904F06">
      <w:pPr>
        <w:spacing w:after="240" w:line="480" w:lineRule="atLeast"/>
        <w:divId w:val="1213535732"/>
        <w:rPr>
          <w:rFonts w:ascii="Tahoma" w:eastAsia="Times New Roman" w:hAnsi="Tahoma" w:cs="Tahoma"/>
          <w:sz w:val="19"/>
          <w:szCs w:val="19"/>
        </w:rPr>
      </w:pPr>
      <w:r>
        <w:rPr>
          <w:rFonts w:ascii="Tahoma" w:eastAsia="Times New Roman" w:hAnsi="Tahoma" w:cs="Tahoma"/>
          <w:sz w:val="19"/>
          <w:szCs w:val="19"/>
        </w:rPr>
        <w:t>Impulsním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1,5 Uw v kV</w:t>
      </w:r>
      <w:r>
        <w:rPr>
          <w:rFonts w:ascii="Tahoma" w:eastAsia="Times New Roman" w:hAnsi="Tahoma" w:cs="Tahoma"/>
          <w:sz w:val="19"/>
          <w:szCs w:val="19"/>
        </w:rPr>
        <w:br/>
        <w:t>Trasování</w:t>
      </w:r>
      <w:r>
        <w:rPr>
          <w:rFonts w:ascii="Tahoma" w:eastAsia="Times New Roman" w:hAnsi="Tahoma" w:cs="Tahoma"/>
          <w:sz w:val="19"/>
          <w:szCs w:val="19"/>
        </w:rPr>
        <w:t xml:space="preserve"> vedení: Nestíněný kabel - žádné opatření při trasování pro vyloučení velkých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 vnějších sítí: Nestíněný kabel</w:t>
      </w:r>
      <w:r>
        <w:rPr>
          <w:rFonts w:ascii="Tahoma" w:eastAsia="Times New Roman" w:hAnsi="Tahoma" w:cs="Tahoma"/>
          <w:sz w:val="19"/>
          <w:szCs w:val="19"/>
        </w:rPr>
        <w:br/>
        <w:t xml:space="preserve">Koordinovaná ochrana SPD: Odpovídající LPL II </w:t>
      </w:r>
      <w:r>
        <w:rPr>
          <w:rFonts w:ascii="Tahoma" w:eastAsia="Times New Roman" w:hAnsi="Tahoma" w:cs="Tahoma"/>
          <w:sz w:val="19"/>
          <w:szCs w:val="19"/>
        </w:rPr>
        <w:br/>
        <w:t>Pro vnitřní ochranu je navržena ochrana SPD v souladu s ČSN EN 62 3</w:t>
      </w:r>
      <w:r>
        <w:rPr>
          <w:rFonts w:ascii="Tahoma" w:eastAsia="Times New Roman" w:hAnsi="Tahoma" w:cs="Tahoma"/>
          <w:sz w:val="19"/>
          <w:szCs w:val="19"/>
        </w:rPr>
        <w:t>05 a ČSN EN 61643-11 výrobce Hakel spol. s r.o.</w:t>
      </w:r>
      <w:r>
        <w:rPr>
          <w:rFonts w:ascii="Tahoma" w:eastAsia="Times New Roman" w:hAnsi="Tahoma" w:cs="Tahoma"/>
          <w:sz w:val="19"/>
          <w:szCs w:val="19"/>
        </w:rPr>
        <w:br/>
        <w:t>Návrh konkrétních přístrojů v závislosti na typu sítě:</w:t>
      </w:r>
      <w:r>
        <w:rPr>
          <w:rFonts w:ascii="Tahoma" w:eastAsia="Times New Roman" w:hAnsi="Tahoma" w:cs="Tahoma"/>
          <w:sz w:val="19"/>
          <w:szCs w:val="19"/>
        </w:rPr>
        <w:br/>
        <w:t>3-FÁZOVÁ TN-C: SPC25/3+0 + Koordinovaný systém SPD vyhovující EN 62305-4</w:t>
      </w:r>
      <w:r>
        <w:rPr>
          <w:rFonts w:ascii="Tahoma" w:eastAsia="Times New Roman" w:hAnsi="Tahoma" w:cs="Tahoma"/>
          <w:sz w:val="19"/>
          <w:szCs w:val="19"/>
        </w:rPr>
        <w:br/>
        <w:t>3-FÁZOVÁ TN-C: SPC25/3+1 + Koordinovaný systém SPD vyhovující EN 62305-4</w:t>
      </w:r>
    </w:p>
    <w:p w:rsidR="00000000" w:rsidRDefault="00904F06">
      <w:pPr>
        <w:pStyle w:val="Nadpis4"/>
        <w:spacing w:line="480" w:lineRule="atLeast"/>
        <w:divId w:val="1204365172"/>
        <w:rPr>
          <w:rFonts w:ascii="Tahoma" w:eastAsia="Times New Roman" w:hAnsi="Tahoma" w:cs="Tahoma"/>
        </w:rPr>
      </w:pPr>
      <w:r>
        <w:rPr>
          <w:rFonts w:ascii="Tahoma" w:eastAsia="Times New Roman" w:hAnsi="Tahoma" w:cs="Tahoma"/>
        </w:rPr>
        <w:t>Silno</w:t>
      </w:r>
      <w:r>
        <w:rPr>
          <w:rFonts w:ascii="Tahoma" w:eastAsia="Times New Roman" w:hAnsi="Tahoma" w:cs="Tahoma"/>
        </w:rPr>
        <w:t>proudá elektroinstalace [Silová vedení [S]]</w:t>
      </w:r>
    </w:p>
    <w:p w:rsidR="00000000" w:rsidRDefault="00904F06">
      <w:pPr>
        <w:spacing w:after="240" w:line="480" w:lineRule="atLeast"/>
        <w:divId w:val="1075592662"/>
        <w:rPr>
          <w:rFonts w:ascii="Tahoma" w:eastAsia="Times New Roman" w:hAnsi="Tahoma" w:cs="Tahoma"/>
          <w:sz w:val="19"/>
          <w:szCs w:val="19"/>
        </w:rPr>
      </w:pPr>
      <w:r>
        <w:rPr>
          <w:rFonts w:ascii="Tahoma" w:eastAsia="Times New Roman" w:hAnsi="Tahoma" w:cs="Tahoma"/>
          <w:sz w:val="19"/>
          <w:szCs w:val="19"/>
        </w:rPr>
        <w:t>Impulsním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2,5 Uw v kV</w:t>
      </w:r>
      <w:r>
        <w:rPr>
          <w:rFonts w:ascii="Tahoma" w:eastAsia="Times New Roman" w:hAnsi="Tahoma" w:cs="Tahoma"/>
          <w:sz w:val="19"/>
          <w:szCs w:val="19"/>
        </w:rPr>
        <w:br/>
        <w:t>Trasování vedení: Nestíněný kabel - žádné opatření při trasování pro vyloučení velkých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 vnějších sítí: Nestíněný kabel</w:t>
      </w:r>
      <w:r>
        <w:rPr>
          <w:rFonts w:ascii="Tahoma" w:eastAsia="Times New Roman" w:hAnsi="Tahoma" w:cs="Tahoma"/>
          <w:sz w:val="19"/>
          <w:szCs w:val="19"/>
        </w:rPr>
        <w:br/>
        <w:t>Koordinovaná ochran</w:t>
      </w:r>
      <w:r>
        <w:rPr>
          <w:rFonts w:ascii="Tahoma" w:eastAsia="Times New Roman" w:hAnsi="Tahoma" w:cs="Tahoma"/>
          <w:sz w:val="19"/>
          <w:szCs w:val="19"/>
        </w:rPr>
        <w:t xml:space="preserve">a SPD: Odpovídající LPL II </w:t>
      </w:r>
      <w:r>
        <w:rPr>
          <w:rFonts w:ascii="Tahoma" w:eastAsia="Times New Roman" w:hAnsi="Tahoma" w:cs="Tahoma"/>
          <w:sz w:val="19"/>
          <w:szCs w:val="19"/>
        </w:rPr>
        <w:br/>
        <w:t>Pro vnitřní ochranu je navržena ochrana SPD v souladu s ČSN EN 62 305 a ČSN EN 61643-11 výrobce Hakel spol. s r.o.</w:t>
      </w:r>
      <w:r>
        <w:rPr>
          <w:rFonts w:ascii="Tahoma" w:eastAsia="Times New Roman" w:hAnsi="Tahoma" w:cs="Tahoma"/>
          <w:sz w:val="19"/>
          <w:szCs w:val="19"/>
        </w:rPr>
        <w:br/>
      </w:r>
      <w:r>
        <w:rPr>
          <w:rFonts w:ascii="Tahoma" w:eastAsia="Times New Roman" w:hAnsi="Tahoma" w:cs="Tahoma"/>
          <w:sz w:val="19"/>
          <w:szCs w:val="19"/>
        </w:rPr>
        <w:lastRenderedPageBreak/>
        <w:t>Návrh konkrétních přístrojů v závislosti na typu sítě:</w:t>
      </w:r>
      <w:r>
        <w:rPr>
          <w:rFonts w:ascii="Tahoma" w:eastAsia="Times New Roman" w:hAnsi="Tahoma" w:cs="Tahoma"/>
          <w:sz w:val="19"/>
          <w:szCs w:val="19"/>
        </w:rPr>
        <w:br/>
        <w:t>3-FÁZOVÁ TN-C: SPC25/3+0 + Koordinovaný systém SPD vyhovuj</w:t>
      </w:r>
      <w:r>
        <w:rPr>
          <w:rFonts w:ascii="Tahoma" w:eastAsia="Times New Roman" w:hAnsi="Tahoma" w:cs="Tahoma"/>
          <w:sz w:val="19"/>
          <w:szCs w:val="19"/>
        </w:rPr>
        <w:t>ící EN 62305-4</w:t>
      </w:r>
      <w:r>
        <w:rPr>
          <w:rFonts w:ascii="Tahoma" w:eastAsia="Times New Roman" w:hAnsi="Tahoma" w:cs="Tahoma"/>
          <w:sz w:val="19"/>
          <w:szCs w:val="19"/>
        </w:rPr>
        <w:br/>
        <w:t>3-FÁZOVÁ TN-C: SPC25/3+1 + Koordinovaný systém SPD vyhovující EN 62305-4</w:t>
      </w:r>
    </w:p>
    <w:p w:rsidR="00000000" w:rsidRDefault="00904F06">
      <w:pPr>
        <w:pStyle w:val="Nadpis4"/>
        <w:spacing w:line="480" w:lineRule="atLeast"/>
        <w:divId w:val="1204365172"/>
        <w:rPr>
          <w:rFonts w:ascii="Tahoma" w:eastAsia="Times New Roman" w:hAnsi="Tahoma" w:cs="Tahoma"/>
        </w:rPr>
      </w:pPr>
      <w:r>
        <w:rPr>
          <w:rFonts w:ascii="Tahoma" w:eastAsia="Times New Roman" w:hAnsi="Tahoma" w:cs="Tahoma"/>
        </w:rPr>
        <w:t>Telefonní kabely [Telekomunikační vedení [T]]</w:t>
      </w:r>
    </w:p>
    <w:p w:rsidR="00000000" w:rsidRDefault="00904F06">
      <w:pPr>
        <w:spacing w:after="240" w:line="480" w:lineRule="atLeast"/>
        <w:divId w:val="1266617093"/>
        <w:rPr>
          <w:rFonts w:ascii="Tahoma" w:eastAsia="Times New Roman" w:hAnsi="Tahoma" w:cs="Tahoma"/>
          <w:sz w:val="19"/>
          <w:szCs w:val="19"/>
        </w:rPr>
      </w:pPr>
      <w:r>
        <w:rPr>
          <w:rFonts w:ascii="Tahoma" w:eastAsia="Times New Roman" w:hAnsi="Tahoma" w:cs="Tahoma"/>
          <w:sz w:val="19"/>
          <w:szCs w:val="19"/>
        </w:rPr>
        <w:t>Impulsním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1 Uw v kV</w:t>
      </w:r>
      <w:r>
        <w:rPr>
          <w:rFonts w:ascii="Tahoma" w:eastAsia="Times New Roman" w:hAnsi="Tahoma" w:cs="Tahoma"/>
          <w:sz w:val="19"/>
          <w:szCs w:val="19"/>
        </w:rPr>
        <w:br/>
        <w:t>Trasování vedení: Nestíněný kabel - žádné opatření při trasování pro vyloučení v</w:t>
      </w:r>
      <w:r>
        <w:rPr>
          <w:rFonts w:ascii="Tahoma" w:eastAsia="Times New Roman" w:hAnsi="Tahoma" w:cs="Tahoma"/>
          <w:sz w:val="19"/>
          <w:szCs w:val="19"/>
        </w:rPr>
        <w:t>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 vnějších sítí: Stíněný kabel</w:t>
      </w:r>
      <w:r>
        <w:rPr>
          <w:rFonts w:ascii="Tahoma" w:eastAsia="Times New Roman" w:hAnsi="Tahoma" w:cs="Tahoma"/>
          <w:sz w:val="19"/>
          <w:szCs w:val="19"/>
        </w:rPr>
        <w:br/>
        <w:t xml:space="preserve">Koordinovaná ochrana SPD: Odpovídající LPL II </w:t>
      </w:r>
      <w:r>
        <w:rPr>
          <w:rFonts w:ascii="Tahoma" w:eastAsia="Times New Roman" w:hAnsi="Tahoma" w:cs="Tahoma"/>
          <w:sz w:val="19"/>
          <w:szCs w:val="19"/>
        </w:rPr>
        <w:br/>
        <w:t>+ Koordinovaný systém SPD vyhovující EN 62305-4</w:t>
      </w:r>
      <w:r>
        <w:rPr>
          <w:rFonts w:ascii="Tahoma" w:eastAsia="Times New Roman" w:hAnsi="Tahoma" w:cs="Tahoma"/>
          <w:sz w:val="19"/>
          <w:szCs w:val="19"/>
        </w:rPr>
        <w:br/>
      </w:r>
    </w:p>
    <w:p w:rsidR="00000000" w:rsidRDefault="00904F06">
      <w:pPr>
        <w:pStyle w:val="Nadpis4"/>
        <w:spacing w:line="480" w:lineRule="atLeast"/>
        <w:divId w:val="1204365172"/>
        <w:rPr>
          <w:rFonts w:ascii="Tahoma" w:eastAsia="Times New Roman" w:hAnsi="Tahoma" w:cs="Tahoma"/>
        </w:rPr>
      </w:pPr>
      <w:r>
        <w:rPr>
          <w:rFonts w:ascii="Tahoma" w:eastAsia="Times New Roman" w:hAnsi="Tahoma" w:cs="Tahoma"/>
        </w:rPr>
        <w:t>LAN rozvody [Datové vedení [T]]</w:t>
      </w:r>
    </w:p>
    <w:p w:rsidR="00000000" w:rsidRDefault="00904F06">
      <w:pPr>
        <w:spacing w:line="480" w:lineRule="atLeast"/>
        <w:divId w:val="944268617"/>
        <w:rPr>
          <w:rFonts w:ascii="Tahoma" w:eastAsia="Times New Roman" w:hAnsi="Tahoma" w:cs="Tahoma"/>
          <w:sz w:val="19"/>
          <w:szCs w:val="19"/>
        </w:rPr>
      </w:pPr>
      <w:r>
        <w:rPr>
          <w:rFonts w:ascii="Tahoma" w:eastAsia="Times New Roman" w:hAnsi="Tahoma" w:cs="Tahoma"/>
          <w:sz w:val="19"/>
          <w:szCs w:val="19"/>
        </w:rPr>
        <w:t>Impulsním výdržném napětí U</w:t>
      </w:r>
      <w:r>
        <w:rPr>
          <w:rFonts w:ascii="Tahoma" w:eastAsia="Times New Roman" w:hAnsi="Tahoma" w:cs="Tahoma"/>
          <w:sz w:val="19"/>
          <w:szCs w:val="19"/>
          <w:vertAlign w:val="subscript"/>
        </w:rPr>
        <w:t>w</w:t>
      </w:r>
      <w:r>
        <w:rPr>
          <w:rFonts w:ascii="Tahoma" w:eastAsia="Times New Roman" w:hAnsi="Tahoma" w:cs="Tahoma"/>
          <w:sz w:val="19"/>
          <w:szCs w:val="19"/>
        </w:rPr>
        <w:t>: 1 Uw v kV</w:t>
      </w:r>
      <w:r>
        <w:rPr>
          <w:rFonts w:ascii="Tahoma" w:eastAsia="Times New Roman" w:hAnsi="Tahoma" w:cs="Tahoma"/>
          <w:sz w:val="19"/>
          <w:szCs w:val="19"/>
        </w:rPr>
        <w:br/>
        <w:t>Trasování vedení:</w:t>
      </w:r>
      <w:r>
        <w:rPr>
          <w:rFonts w:ascii="Tahoma" w:eastAsia="Times New Roman" w:hAnsi="Tahoma" w:cs="Tahoma"/>
          <w:sz w:val="19"/>
          <w:szCs w:val="19"/>
        </w:rPr>
        <w:t xml:space="preserve"> Nestíněný kabel - žádné opatření při trasování pro vyloučení velkých smyček (plocha řádu 50 m</w:t>
      </w:r>
      <w:r>
        <w:rPr>
          <w:rFonts w:ascii="Tahoma" w:eastAsia="Times New Roman" w:hAnsi="Tahoma" w:cs="Tahoma"/>
          <w:sz w:val="19"/>
          <w:szCs w:val="19"/>
          <w:vertAlign w:val="superscript"/>
        </w:rPr>
        <w:t>2</w:t>
      </w:r>
      <w:r>
        <w:rPr>
          <w:rFonts w:ascii="Tahoma" w:eastAsia="Times New Roman" w:hAnsi="Tahoma" w:cs="Tahoma"/>
          <w:sz w:val="19"/>
          <w:szCs w:val="19"/>
        </w:rPr>
        <w:t xml:space="preserve"> ) </w:t>
      </w:r>
      <w:r>
        <w:rPr>
          <w:rFonts w:ascii="Tahoma" w:eastAsia="Times New Roman" w:hAnsi="Tahoma" w:cs="Tahoma"/>
          <w:sz w:val="19"/>
          <w:szCs w:val="19"/>
        </w:rPr>
        <w:br/>
        <w:t>Typ vnějších sítí: Stíněný kabel</w:t>
      </w:r>
      <w:r>
        <w:rPr>
          <w:rFonts w:ascii="Tahoma" w:eastAsia="Times New Roman" w:hAnsi="Tahoma" w:cs="Tahoma"/>
          <w:sz w:val="19"/>
          <w:szCs w:val="19"/>
        </w:rPr>
        <w:br/>
        <w:t xml:space="preserve">Koordinovaná ochrana SPD: Není </w:t>
      </w:r>
    </w:p>
    <w:p w:rsidR="00000000" w:rsidRDefault="00904F06">
      <w:pPr>
        <w:pStyle w:val="Nadpis4"/>
        <w:spacing w:line="480" w:lineRule="atLeast"/>
        <w:divId w:val="463502861"/>
        <w:rPr>
          <w:rFonts w:ascii="Tahoma" w:eastAsia="Times New Roman" w:hAnsi="Tahoma" w:cs="Tahoma"/>
        </w:rPr>
      </w:pPr>
      <w:r>
        <w:rPr>
          <w:rFonts w:ascii="Tahoma" w:eastAsia="Times New Roman" w:hAnsi="Tahoma" w:cs="Tahoma"/>
        </w:rPr>
        <w:t>Ztráty</w:t>
      </w:r>
    </w:p>
    <w:p w:rsidR="00000000" w:rsidRDefault="00904F06">
      <w:pPr>
        <w:spacing w:line="480" w:lineRule="atLeast"/>
        <w:divId w:val="801121660"/>
        <w:rPr>
          <w:rFonts w:ascii="Tahoma" w:eastAsia="Times New Roman" w:hAnsi="Tahoma" w:cs="Tahoma"/>
          <w:sz w:val="19"/>
          <w:szCs w:val="19"/>
        </w:rPr>
      </w:pPr>
      <w:r>
        <w:rPr>
          <w:rFonts w:ascii="Tahoma" w:eastAsia="Times New Roman" w:hAnsi="Tahoma" w:cs="Tahoma"/>
          <w:sz w:val="19"/>
          <w:szCs w:val="19"/>
        </w:rPr>
        <w:t>Ztráty na lidských životech L1 - Úraz živých bytostí elektrickým proudem D1: 0,00000</w:t>
      </w:r>
      <w:r>
        <w:rPr>
          <w:rFonts w:ascii="Tahoma" w:eastAsia="Times New Roman" w:hAnsi="Tahoma" w:cs="Tahoma"/>
          <w:sz w:val="19"/>
          <w:szCs w:val="19"/>
        </w:rPr>
        <w:t>1</w:t>
      </w:r>
      <w:r>
        <w:rPr>
          <w:rFonts w:ascii="Tahoma" w:eastAsia="Times New Roman" w:hAnsi="Tahoma" w:cs="Tahoma"/>
          <w:sz w:val="19"/>
          <w:szCs w:val="19"/>
        </w:rPr>
        <w:br/>
        <w:t>Ztráty na lidských životech L1 - Hmotná škoda D2: 0,0002</w:t>
      </w:r>
      <w:r>
        <w:rPr>
          <w:rFonts w:ascii="Tahoma" w:eastAsia="Times New Roman" w:hAnsi="Tahoma" w:cs="Tahoma"/>
          <w:sz w:val="19"/>
          <w:szCs w:val="19"/>
        </w:rPr>
        <w:br/>
        <w:t>Ztráty na lidských životech L1 - Porucha elektrických a elektronických systémů D3: 0</w:t>
      </w:r>
      <w:r>
        <w:rPr>
          <w:rFonts w:ascii="Tahoma" w:eastAsia="Times New Roman" w:hAnsi="Tahoma" w:cs="Tahoma"/>
          <w:sz w:val="19"/>
          <w:szCs w:val="19"/>
        </w:rPr>
        <w:br/>
        <w:t>Ztráty na veřejných službách L2 - Hmotná škoda D2: 0</w:t>
      </w:r>
      <w:r>
        <w:rPr>
          <w:rFonts w:ascii="Tahoma" w:eastAsia="Times New Roman" w:hAnsi="Tahoma" w:cs="Tahoma"/>
          <w:sz w:val="19"/>
          <w:szCs w:val="19"/>
        </w:rPr>
        <w:br/>
        <w:t>Ztráty na veřejných službách L2 - Porucha elektrických a el</w:t>
      </w:r>
      <w:r>
        <w:rPr>
          <w:rFonts w:ascii="Tahoma" w:eastAsia="Times New Roman" w:hAnsi="Tahoma" w:cs="Tahoma"/>
          <w:sz w:val="19"/>
          <w:szCs w:val="19"/>
        </w:rPr>
        <w:t>ektronických systémů D3: 0</w:t>
      </w:r>
      <w:r>
        <w:rPr>
          <w:rFonts w:ascii="Tahoma" w:eastAsia="Times New Roman" w:hAnsi="Tahoma" w:cs="Tahoma"/>
          <w:sz w:val="19"/>
          <w:szCs w:val="19"/>
        </w:rPr>
        <w:br/>
        <w:t>Ztráty kulturního dědictví L3 - Hmotná škoda D2: 0</w:t>
      </w:r>
      <w:r>
        <w:rPr>
          <w:rFonts w:ascii="Tahoma" w:eastAsia="Times New Roman" w:hAnsi="Tahoma" w:cs="Tahoma"/>
          <w:sz w:val="19"/>
          <w:szCs w:val="19"/>
        </w:rPr>
        <w:br/>
        <w:t>Ekonomická ztráta L4 - Úraz živých bytostí elektrickým proudem D1: 0</w:t>
      </w:r>
      <w:r>
        <w:rPr>
          <w:rFonts w:ascii="Tahoma" w:eastAsia="Times New Roman" w:hAnsi="Tahoma" w:cs="Tahoma"/>
          <w:sz w:val="19"/>
          <w:szCs w:val="19"/>
        </w:rPr>
        <w:br/>
      </w:r>
      <w:r>
        <w:rPr>
          <w:rFonts w:ascii="Tahoma" w:eastAsia="Times New Roman" w:hAnsi="Tahoma" w:cs="Tahoma"/>
          <w:sz w:val="19"/>
          <w:szCs w:val="19"/>
        </w:rPr>
        <w:lastRenderedPageBreak/>
        <w:t>Ekonomická ztráta L4 - Hmotná škoda D2: 0,0001946903</w:t>
      </w:r>
      <w:r>
        <w:rPr>
          <w:rFonts w:ascii="Tahoma" w:eastAsia="Times New Roman" w:hAnsi="Tahoma" w:cs="Tahoma"/>
          <w:sz w:val="19"/>
          <w:szCs w:val="19"/>
        </w:rPr>
        <w:br/>
        <w:t>Ekonomická ztráta L4 - Porucha elektrických a elektronic</w:t>
      </w:r>
      <w:r>
        <w:rPr>
          <w:rFonts w:ascii="Tahoma" w:eastAsia="Times New Roman" w:hAnsi="Tahoma" w:cs="Tahoma"/>
          <w:sz w:val="19"/>
          <w:szCs w:val="19"/>
        </w:rPr>
        <w:t>kých systémů D3: 0,0000070796</w:t>
      </w:r>
    </w:p>
    <w:p w:rsidR="00000000" w:rsidRDefault="00904F06">
      <w:pPr>
        <w:pStyle w:val="Nadpis3"/>
        <w:spacing w:line="480" w:lineRule="atLeast"/>
        <w:divId w:val="885525220"/>
        <w:rPr>
          <w:rFonts w:ascii="Tahoma" w:eastAsia="Times New Roman" w:hAnsi="Tahoma" w:cs="Tahoma"/>
          <w:sz w:val="19"/>
          <w:szCs w:val="19"/>
        </w:rPr>
      </w:pPr>
      <w:r>
        <w:rPr>
          <w:rFonts w:ascii="Tahoma" w:eastAsia="Times New Roman" w:hAnsi="Tahoma" w:cs="Tahoma"/>
          <w:sz w:val="19"/>
          <w:szCs w:val="19"/>
        </w:rPr>
        <w:t>Ztráty</w:t>
      </w:r>
    </w:p>
    <w:p w:rsidR="00000000" w:rsidRDefault="00904F06">
      <w:pPr>
        <w:spacing w:line="480" w:lineRule="atLeast"/>
        <w:divId w:val="885525220"/>
        <w:rPr>
          <w:rFonts w:ascii="Tahoma" w:eastAsia="Times New Roman" w:hAnsi="Tahoma" w:cs="Tahoma"/>
          <w:sz w:val="19"/>
          <w:szCs w:val="19"/>
        </w:rPr>
      </w:pPr>
      <w:r>
        <w:rPr>
          <w:rFonts w:ascii="Tahoma" w:eastAsia="Times New Roman" w:hAnsi="Tahoma" w:cs="Tahoma"/>
          <w:sz w:val="19"/>
          <w:szCs w:val="19"/>
        </w:rPr>
        <w:t>Očekávaný celkový počet osob ve stavbě a v její blízkosti: 1 200 osob</w:t>
      </w:r>
      <w:r>
        <w:rPr>
          <w:rFonts w:ascii="Tahoma" w:eastAsia="Times New Roman" w:hAnsi="Tahoma" w:cs="Tahoma"/>
          <w:sz w:val="19"/>
          <w:szCs w:val="19"/>
        </w:rPr>
        <w:br/>
        <w:t>Celkový počet neobsloužených uživatelů: 0 osob</w:t>
      </w:r>
      <w:r>
        <w:rPr>
          <w:rFonts w:ascii="Tahoma" w:eastAsia="Times New Roman" w:hAnsi="Tahoma" w:cs="Tahoma"/>
          <w:sz w:val="19"/>
          <w:szCs w:val="19"/>
        </w:rPr>
        <w:br/>
        <w:t>Celková pojistitelná hodnota stavby: 0 měna</w:t>
      </w:r>
      <w:r>
        <w:rPr>
          <w:rFonts w:ascii="Tahoma" w:eastAsia="Times New Roman" w:hAnsi="Tahoma" w:cs="Tahoma"/>
          <w:sz w:val="19"/>
          <w:szCs w:val="19"/>
        </w:rPr>
        <w:br/>
        <w:t>Celková hodnota stavby: 113 000 000 měna</w:t>
      </w:r>
    </w:p>
    <w:p w:rsidR="00000000" w:rsidRDefault="00904F06">
      <w:pPr>
        <w:pStyle w:val="Nadpis3"/>
        <w:spacing w:line="480" w:lineRule="atLeast"/>
        <w:divId w:val="885525220"/>
        <w:rPr>
          <w:rFonts w:ascii="Tahoma" w:eastAsia="Times New Roman" w:hAnsi="Tahoma" w:cs="Tahoma"/>
          <w:sz w:val="19"/>
          <w:szCs w:val="19"/>
        </w:rPr>
      </w:pPr>
      <w:r>
        <w:rPr>
          <w:rFonts w:ascii="Tahoma" w:eastAsia="Times New Roman" w:hAnsi="Tahoma" w:cs="Tahoma"/>
          <w:sz w:val="19"/>
          <w:szCs w:val="19"/>
        </w:rPr>
        <w:t>Rizika</w:t>
      </w:r>
    </w:p>
    <w:p w:rsidR="00000000" w:rsidRDefault="00904F06">
      <w:pPr>
        <w:spacing w:line="480" w:lineRule="atLeast"/>
        <w:divId w:val="553203702"/>
        <w:rPr>
          <w:rFonts w:ascii="Tahoma" w:eastAsia="Times New Roman" w:hAnsi="Tahoma" w:cs="Tahoma"/>
          <w:sz w:val="19"/>
          <w:szCs w:val="19"/>
        </w:rPr>
      </w:pPr>
      <w:r>
        <w:rPr>
          <w:rStyle w:val="Siln"/>
          <w:rFonts w:ascii="Tahoma" w:eastAsia="Times New Roman" w:hAnsi="Tahoma" w:cs="Tahoma"/>
          <w:sz w:val="19"/>
          <w:szCs w:val="19"/>
        </w:rPr>
        <w:t>R1 * 10</w:t>
      </w:r>
      <w:r>
        <w:rPr>
          <w:rStyle w:val="Siln"/>
          <w:rFonts w:ascii="Tahoma" w:eastAsia="Times New Roman" w:hAnsi="Tahoma" w:cs="Tahoma"/>
          <w:sz w:val="19"/>
          <w:szCs w:val="19"/>
          <w:vertAlign w:val="superscript"/>
        </w:rPr>
        <w:t>-5</w:t>
      </w:r>
      <w:r>
        <w:rPr>
          <w:rStyle w:val="Siln"/>
          <w:rFonts w:ascii="Tahoma" w:eastAsia="Times New Roman" w:hAnsi="Tahoma" w:cs="Tahoma"/>
          <w:sz w:val="19"/>
          <w:szCs w:val="19"/>
        </w:rPr>
        <w:t xml:space="preserve"> = 0,6224411382 (vyhovuje)</w:t>
      </w:r>
      <w:r>
        <w:rPr>
          <w:rFonts w:ascii="Tahoma" w:eastAsia="Times New Roman" w:hAnsi="Tahoma" w:cs="Tahoma"/>
          <w:sz w:val="19"/>
          <w:szCs w:val="19"/>
        </w:rPr>
        <w:br/>
      </w:r>
      <w:r>
        <w:rPr>
          <w:rStyle w:val="Siln"/>
          <w:rFonts w:ascii="Tahoma" w:eastAsia="Times New Roman" w:hAnsi="Tahoma" w:cs="Tahoma"/>
          <w:sz w:val="19"/>
          <w:szCs w:val="19"/>
        </w:rPr>
        <w:t>R2 * 10</w:t>
      </w:r>
      <w:r>
        <w:rPr>
          <w:rStyle w:val="Siln"/>
          <w:rFonts w:ascii="Tahoma" w:eastAsia="Times New Roman" w:hAnsi="Tahoma" w:cs="Tahoma"/>
          <w:sz w:val="19"/>
          <w:szCs w:val="19"/>
          <w:vertAlign w:val="superscript"/>
        </w:rPr>
        <w:t>-3</w:t>
      </w:r>
      <w:r>
        <w:rPr>
          <w:rStyle w:val="Siln"/>
          <w:rFonts w:ascii="Tahoma" w:eastAsia="Times New Roman" w:hAnsi="Tahoma" w:cs="Tahoma"/>
          <w:sz w:val="19"/>
          <w:szCs w:val="19"/>
        </w:rPr>
        <w:t xml:space="preserve"> = 0 (vyhovuje)</w:t>
      </w:r>
      <w:r>
        <w:rPr>
          <w:rFonts w:ascii="Tahoma" w:eastAsia="Times New Roman" w:hAnsi="Tahoma" w:cs="Tahoma"/>
          <w:sz w:val="19"/>
          <w:szCs w:val="19"/>
        </w:rPr>
        <w:br/>
      </w:r>
      <w:r>
        <w:rPr>
          <w:rStyle w:val="Siln"/>
          <w:rFonts w:ascii="Tahoma" w:eastAsia="Times New Roman" w:hAnsi="Tahoma" w:cs="Tahoma"/>
          <w:sz w:val="19"/>
          <w:szCs w:val="19"/>
        </w:rPr>
        <w:t>R3 * 10</w:t>
      </w:r>
      <w:r>
        <w:rPr>
          <w:rStyle w:val="Siln"/>
          <w:rFonts w:ascii="Tahoma" w:eastAsia="Times New Roman" w:hAnsi="Tahoma" w:cs="Tahoma"/>
          <w:sz w:val="19"/>
          <w:szCs w:val="19"/>
          <w:vertAlign w:val="superscript"/>
        </w:rPr>
        <w:t>-4</w:t>
      </w:r>
      <w:r>
        <w:rPr>
          <w:rStyle w:val="Siln"/>
          <w:rFonts w:ascii="Tahoma" w:eastAsia="Times New Roman" w:hAnsi="Tahoma" w:cs="Tahoma"/>
          <w:sz w:val="19"/>
          <w:szCs w:val="19"/>
        </w:rPr>
        <w:t xml:space="preserve"> = 0 (vyhovuje)</w:t>
      </w:r>
      <w:r>
        <w:rPr>
          <w:rFonts w:ascii="Tahoma" w:eastAsia="Times New Roman" w:hAnsi="Tahoma" w:cs="Tahoma"/>
          <w:sz w:val="19"/>
          <w:szCs w:val="19"/>
        </w:rPr>
        <w:br/>
      </w:r>
      <w:r>
        <w:rPr>
          <w:rStyle w:val="Siln"/>
          <w:rFonts w:ascii="Tahoma" w:eastAsia="Times New Roman" w:hAnsi="Tahoma" w:cs="Tahoma"/>
          <w:sz w:val="19"/>
          <w:szCs w:val="19"/>
        </w:rPr>
        <w:t>R4 * 10</w:t>
      </w:r>
      <w:r>
        <w:rPr>
          <w:rStyle w:val="Siln"/>
          <w:rFonts w:ascii="Tahoma" w:eastAsia="Times New Roman" w:hAnsi="Tahoma" w:cs="Tahoma"/>
          <w:sz w:val="19"/>
          <w:szCs w:val="19"/>
          <w:vertAlign w:val="superscript"/>
        </w:rPr>
        <w:t>-3</w:t>
      </w:r>
      <w:r>
        <w:rPr>
          <w:rStyle w:val="Siln"/>
          <w:rFonts w:ascii="Tahoma" w:eastAsia="Times New Roman" w:hAnsi="Tahoma" w:cs="Tahoma"/>
          <w:sz w:val="19"/>
          <w:szCs w:val="19"/>
        </w:rPr>
        <w:t xml:space="preserve"> = 0,0288733192 </w:t>
      </w:r>
    </w:p>
    <w:p w:rsidR="00000000" w:rsidRDefault="00904F06">
      <w:pPr>
        <w:pStyle w:val="Nadpis3"/>
        <w:spacing w:line="480" w:lineRule="atLeast"/>
        <w:divId w:val="553203702"/>
        <w:rPr>
          <w:rFonts w:ascii="Tahoma" w:eastAsia="Times New Roman" w:hAnsi="Tahoma" w:cs="Tahoma"/>
          <w:sz w:val="19"/>
          <w:szCs w:val="19"/>
        </w:rPr>
      </w:pPr>
      <w:r>
        <w:rPr>
          <w:rFonts w:ascii="Tahoma" w:eastAsia="Times New Roman" w:hAnsi="Tahoma" w:cs="Tahoma"/>
          <w:sz w:val="19"/>
          <w:szCs w:val="19"/>
        </w:rPr>
        <w:t>R1 * 10</w:t>
      </w:r>
      <w:r>
        <w:rPr>
          <w:rFonts w:ascii="Tahoma" w:eastAsia="Times New Roman" w:hAnsi="Tahoma" w:cs="Tahoma"/>
          <w:sz w:val="19"/>
          <w:szCs w:val="19"/>
          <w:vertAlign w:val="superscript"/>
        </w:rPr>
        <w:t>-5</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727"/>
        <w:gridCol w:w="2630"/>
        <w:gridCol w:w="3609"/>
        <w:gridCol w:w="2090"/>
      </w:tblGrid>
      <w:tr w:rsidR="00000000">
        <w:trPr>
          <w:divId w:val="55320370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0,2797020231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0,2797020231</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C</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M</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0,3427391152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0,3427391152</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W</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Z</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lastRenderedPageBreak/>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0,6224411382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0,6224411382</w:t>
            </w:r>
          </w:p>
        </w:tc>
      </w:tr>
    </w:tbl>
    <w:p w:rsidR="00000000" w:rsidRDefault="00904F06">
      <w:pPr>
        <w:pStyle w:val="Nadpis3"/>
        <w:spacing w:line="480" w:lineRule="atLeast"/>
        <w:divId w:val="553203702"/>
        <w:rPr>
          <w:rFonts w:ascii="Tahoma" w:eastAsia="Times New Roman" w:hAnsi="Tahoma" w:cs="Tahoma"/>
          <w:sz w:val="19"/>
          <w:szCs w:val="19"/>
        </w:rPr>
      </w:pPr>
      <w:r>
        <w:rPr>
          <w:rFonts w:ascii="Tahoma" w:eastAsia="Times New Roman" w:hAnsi="Tahoma" w:cs="Tahoma"/>
          <w:sz w:val="19"/>
          <w:szCs w:val="19"/>
        </w:rPr>
        <w:t>R2 * 10</w:t>
      </w:r>
      <w:r>
        <w:rPr>
          <w:rFonts w:ascii="Tahoma" w:eastAsia="Times New Roman" w:hAnsi="Tahoma" w:cs="Tahoma"/>
          <w:sz w:val="19"/>
          <w:szCs w:val="19"/>
          <w:vertAlign w:val="superscript"/>
        </w:rPr>
        <w:t>-3</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836"/>
        <w:gridCol w:w="3043"/>
        <w:gridCol w:w="4179"/>
        <w:gridCol w:w="998"/>
      </w:tblGrid>
      <w:tr w:rsidR="00000000">
        <w:trPr>
          <w:divId w:val="55320370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C</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M</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W</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Z</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bl>
    <w:p w:rsidR="00000000" w:rsidRDefault="00904F06">
      <w:pPr>
        <w:pStyle w:val="Nadpis3"/>
        <w:spacing w:line="480" w:lineRule="atLeast"/>
        <w:divId w:val="553203702"/>
        <w:rPr>
          <w:rFonts w:ascii="Tahoma" w:eastAsia="Times New Roman" w:hAnsi="Tahoma" w:cs="Tahoma"/>
          <w:sz w:val="19"/>
          <w:szCs w:val="19"/>
        </w:rPr>
      </w:pPr>
      <w:r>
        <w:rPr>
          <w:rFonts w:ascii="Tahoma" w:eastAsia="Times New Roman" w:hAnsi="Tahoma" w:cs="Tahoma"/>
          <w:sz w:val="19"/>
          <w:szCs w:val="19"/>
        </w:rPr>
        <w:t>R3 * 10</w:t>
      </w:r>
      <w:r>
        <w:rPr>
          <w:rFonts w:ascii="Tahoma" w:eastAsia="Times New Roman" w:hAnsi="Tahoma" w:cs="Tahoma"/>
          <w:sz w:val="19"/>
          <w:szCs w:val="19"/>
          <w:vertAlign w:val="superscript"/>
        </w:rPr>
        <w:t>-4</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789"/>
        <w:gridCol w:w="3061"/>
        <w:gridCol w:w="4202"/>
        <w:gridCol w:w="1004"/>
      </w:tblGrid>
      <w:tr w:rsidR="00000000">
        <w:trPr>
          <w:divId w:val="55320370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bl>
    <w:p w:rsidR="00000000" w:rsidRDefault="00904F06">
      <w:pPr>
        <w:pStyle w:val="Nadpis3"/>
        <w:spacing w:line="480" w:lineRule="atLeast"/>
        <w:divId w:val="553203702"/>
        <w:rPr>
          <w:rFonts w:ascii="Tahoma" w:eastAsia="Times New Roman" w:hAnsi="Tahoma" w:cs="Tahoma"/>
          <w:sz w:val="19"/>
          <w:szCs w:val="19"/>
        </w:rPr>
      </w:pPr>
      <w:r>
        <w:rPr>
          <w:rFonts w:ascii="Tahoma" w:eastAsia="Times New Roman" w:hAnsi="Tahoma" w:cs="Tahoma"/>
          <w:sz w:val="19"/>
          <w:szCs w:val="19"/>
        </w:rPr>
        <w:t>R4 * 10</w:t>
      </w:r>
      <w:r>
        <w:rPr>
          <w:rFonts w:ascii="Tahoma" w:eastAsia="Times New Roman" w:hAnsi="Tahoma" w:cs="Tahoma"/>
          <w:sz w:val="19"/>
          <w:szCs w:val="19"/>
          <w:vertAlign w:val="superscript"/>
        </w:rPr>
        <w:t>-3</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727"/>
        <w:gridCol w:w="2630"/>
        <w:gridCol w:w="3609"/>
        <w:gridCol w:w="2090"/>
      </w:tblGrid>
      <w:tr w:rsidR="00000000">
        <w:trPr>
          <w:divId w:val="553203702"/>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0,0027227631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0,0027227631</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lastRenderedPageBreak/>
              <w:t>R</w:t>
            </w:r>
            <w:r>
              <w:rPr>
                <w:rFonts w:ascii="Tahoma" w:eastAsia="Times New Roman" w:hAnsi="Tahoma" w:cs="Tahoma"/>
                <w:sz w:val="19"/>
                <w:szCs w:val="19"/>
                <w:vertAlign w:val="subscript"/>
              </w:rPr>
              <w:t>C</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0,0019801913</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0,0019801913</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M</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0,0177514654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0,0177514654</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V</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0,0033363985</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0,0033363985</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W</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0,0029520089</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0,0029520089</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Z</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0,000130492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0,000130492</w:t>
            </w:r>
          </w:p>
        </w:tc>
      </w:tr>
      <w:tr w:rsidR="00000000">
        <w:trPr>
          <w:divId w:val="553203702"/>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R</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0,0288733192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0,0288733192</w:t>
            </w:r>
          </w:p>
        </w:tc>
      </w:tr>
    </w:tbl>
    <w:p w:rsidR="00000000" w:rsidRDefault="00904F06">
      <w:pPr>
        <w:pStyle w:val="Nadpis3"/>
        <w:spacing w:line="480" w:lineRule="atLeast"/>
        <w:divId w:val="1837303656"/>
        <w:rPr>
          <w:rFonts w:ascii="Tahoma" w:eastAsia="Times New Roman" w:hAnsi="Tahoma" w:cs="Tahoma"/>
          <w:sz w:val="19"/>
          <w:szCs w:val="19"/>
        </w:rPr>
      </w:pPr>
      <w:r>
        <w:rPr>
          <w:rFonts w:ascii="Tahoma" w:eastAsia="Times New Roman" w:hAnsi="Tahoma" w:cs="Tahoma"/>
          <w:sz w:val="19"/>
          <w:szCs w:val="19"/>
        </w:rPr>
        <w:t>Ocenění nákladů a ztrát</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2775"/>
        <w:gridCol w:w="1688"/>
        <w:gridCol w:w="2384"/>
        <w:gridCol w:w="2209"/>
      </w:tblGrid>
      <w:tr w:rsidR="00000000">
        <w:trPr>
          <w:divId w:val="1837303656"/>
          <w:tblCellSpacing w:w="15" w:type="dxa"/>
        </w:trPr>
        <w:tc>
          <w:tcPr>
            <w:tcW w:w="0" w:type="auto"/>
            <w:shd w:val="clear" w:color="auto" w:fill="EEEEEE"/>
            <w:vAlign w:val="center"/>
            <w:hideMark/>
          </w:tcPr>
          <w:p w:rsidR="00000000" w:rsidRDefault="00904F06">
            <w:pPr>
              <w:rPr>
                <w:rFonts w:ascii="Tahoma" w:eastAsia="Times New Roman" w:hAnsi="Tahoma" w:cs="Tahoma"/>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23.NP - klima jednotky</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Vnitřní prostory LPZ1 [LPZ 0/1]</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Stavba</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zvířat C</w:t>
            </w:r>
            <w:r>
              <w:rPr>
                <w:rFonts w:ascii="Tahoma" w:eastAsia="Times New Roman" w:hAnsi="Tahoma" w:cs="Tahoma"/>
                <w:sz w:val="19"/>
                <w:szCs w:val="19"/>
                <w:vertAlign w:val="subscript"/>
              </w:rPr>
              <w:t>A</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0</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systémů ve stavbě C</w:t>
            </w:r>
            <w:r>
              <w:rPr>
                <w:rFonts w:ascii="Tahoma" w:eastAsia="Times New Roman" w:hAnsi="Tahoma" w:cs="Tahoma"/>
                <w:sz w:val="19"/>
                <w:szCs w:val="19"/>
                <w:vertAlign w:val="subscript"/>
              </w:rPr>
              <w:t>S</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3 000 000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8 000 000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11 000 000</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budovy C</w:t>
            </w:r>
            <w:r>
              <w:rPr>
                <w:rFonts w:ascii="Tahoma" w:eastAsia="Times New Roman" w:hAnsi="Tahoma" w:cs="Tahoma"/>
                <w:sz w:val="19"/>
                <w:szCs w:val="19"/>
                <w:vertAlign w:val="subscript"/>
              </w:rPr>
              <w:t>B</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80 000 000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80 000 000</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Cena obsahu C</w:t>
            </w:r>
            <w:r>
              <w:rPr>
                <w:rFonts w:ascii="Tahoma" w:eastAsia="Times New Roman" w:hAnsi="Tahoma" w:cs="Tahoma"/>
                <w:sz w:val="19"/>
                <w:szCs w:val="19"/>
                <w:vertAlign w:val="subscript"/>
              </w:rPr>
              <w:t>C</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22 000 000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22 000 000</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Celkem - střední hodnota možných ztrát c(L</w:t>
            </w:r>
            <w:r>
              <w:rPr>
                <w:rFonts w:ascii="Tahoma" w:eastAsia="Times New Roman" w:hAnsi="Tahoma" w:cs="Tahoma"/>
                <w:sz w:val="19"/>
                <w:szCs w:val="19"/>
                <w:vertAlign w:val="subscript"/>
              </w:rPr>
              <w:t>o</w:t>
            </w:r>
            <w:r>
              <w:rPr>
                <w:rFonts w:ascii="Tahoma" w:eastAsia="Times New Roman" w:hAnsi="Tahoma" w:cs="Tahoma"/>
                <w:sz w:val="19"/>
                <w:szCs w:val="19"/>
              </w:rPr>
              <w:t>4) :</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3 000 000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110 000 000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113 000 000</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Náklady na ztráty bez přijatých ochranných opatření C</w:t>
            </w:r>
            <w:r>
              <w:rPr>
                <w:rFonts w:ascii="Tahoma" w:eastAsia="Times New Roman" w:hAnsi="Tahoma" w:cs="Tahoma"/>
                <w:sz w:val="19"/>
                <w:szCs w:val="19"/>
                <w:vertAlign w:val="subscript"/>
              </w:rPr>
              <w:t>L</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2 537,3494359656</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3 262,6850681189</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Celková cena zbytkových ztrát C</w:t>
            </w:r>
            <w:r>
              <w:rPr>
                <w:rFonts w:ascii="Tahoma" w:eastAsia="Times New Roman" w:hAnsi="Tahoma" w:cs="Tahoma"/>
                <w:sz w:val="19"/>
                <w:szCs w:val="19"/>
                <w:vertAlign w:val="subscript"/>
              </w:rPr>
              <w:t>RL</w:t>
            </w:r>
            <w:r>
              <w:rPr>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3 262,6850681189</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3 262,6850681189</w:t>
            </w:r>
          </w:p>
        </w:tc>
      </w:tr>
    </w:tbl>
    <w:p w:rsidR="00000000" w:rsidRDefault="00904F06">
      <w:pPr>
        <w:pStyle w:val="Nadpis3"/>
        <w:spacing w:line="480" w:lineRule="atLeast"/>
        <w:divId w:val="1837303656"/>
        <w:rPr>
          <w:rFonts w:ascii="Tahoma" w:eastAsia="Times New Roman" w:hAnsi="Tahoma" w:cs="Tahoma"/>
          <w:sz w:val="19"/>
          <w:szCs w:val="19"/>
        </w:rPr>
      </w:pPr>
      <w:r>
        <w:rPr>
          <w:rFonts w:ascii="Tahoma" w:eastAsia="Times New Roman" w:hAnsi="Tahoma" w:cs="Tahoma"/>
          <w:sz w:val="19"/>
          <w:szCs w:val="19"/>
        </w:rPr>
        <w:t>Cena ochranných opatření</w:t>
      </w:r>
    </w:p>
    <w:tbl>
      <w:tblPr>
        <w:tblW w:w="5000" w:type="pct"/>
        <w:tblCellSpacing w:w="15" w:type="dxa"/>
        <w:tblBorders>
          <w:top w:val="single" w:sz="6" w:space="0" w:color="808080"/>
          <w:left w:val="single" w:sz="6" w:space="0" w:color="808080"/>
          <w:bottom w:val="single" w:sz="6" w:space="0" w:color="808080"/>
          <w:right w:val="single" w:sz="6" w:space="0" w:color="808080"/>
        </w:tblBorders>
        <w:shd w:val="clear" w:color="auto" w:fill="EEEEEE"/>
        <w:tblCellMar>
          <w:top w:w="15" w:type="dxa"/>
          <w:left w:w="15" w:type="dxa"/>
          <w:bottom w:w="15" w:type="dxa"/>
          <w:right w:w="15" w:type="dxa"/>
        </w:tblCellMar>
        <w:tblLook w:val="04A0" w:firstRow="1" w:lastRow="0" w:firstColumn="1" w:lastColumn="0" w:noHBand="0" w:noVBand="1"/>
      </w:tblPr>
      <w:tblGrid>
        <w:gridCol w:w="4384"/>
        <w:gridCol w:w="1020"/>
        <w:gridCol w:w="1465"/>
        <w:gridCol w:w="650"/>
        <w:gridCol w:w="391"/>
        <w:gridCol w:w="1146"/>
      </w:tblGrid>
      <w:tr w:rsidR="00000000">
        <w:trPr>
          <w:divId w:val="1837303656"/>
          <w:tblCellSpacing w:w="15" w:type="dxa"/>
        </w:trPr>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lastRenderedPageBreak/>
              <w:t>Ochranná opatření:</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Parametr:</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Hodnota parametru:</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Cena:</w:t>
            </w: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p>
        </w:tc>
        <w:tc>
          <w:tcPr>
            <w:tcW w:w="0" w:type="auto"/>
            <w:shd w:val="clear" w:color="auto" w:fill="EEEEEE"/>
            <w:vAlign w:val="center"/>
            <w:hideMark/>
          </w:tcPr>
          <w:p w:rsidR="00000000" w:rsidRDefault="00904F06">
            <w:pPr>
              <w:spacing w:line="480" w:lineRule="atLeast"/>
              <w:jc w:val="center"/>
              <w:rPr>
                <w:rFonts w:ascii="Tahoma" w:eastAsia="Times New Roman" w:hAnsi="Tahoma" w:cs="Tahoma"/>
                <w:b/>
                <w:bCs/>
                <w:sz w:val="19"/>
                <w:szCs w:val="19"/>
              </w:rPr>
            </w:pPr>
            <w:r>
              <w:rPr>
                <w:rFonts w:ascii="Tahoma" w:eastAsia="Times New Roman" w:hAnsi="Tahoma" w:cs="Tahoma"/>
                <w:b/>
                <w:bCs/>
                <w:sz w:val="19"/>
                <w:szCs w:val="19"/>
              </w:rPr>
              <w:t>Poznámka:</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Opatření pro celou stavbu: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Stavba chráněná pomocí LPS</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0,05</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SPD na vstupu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EB</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Prostorové stínění:</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Opatření v jednotlivých vnějších zonách Z</w:t>
            </w:r>
            <w:r>
              <w:rPr>
                <w:rStyle w:val="Siln"/>
                <w:rFonts w:ascii="Tahoma" w:eastAsia="Times New Roman" w:hAnsi="Tahoma" w:cs="Tahoma"/>
                <w:sz w:val="19"/>
                <w:szCs w:val="19"/>
                <w:vertAlign w:val="subscript"/>
              </w:rPr>
              <w:t>s</w:t>
            </w:r>
            <w:r>
              <w:rPr>
                <w:rStyle w:val="Siln"/>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23.NP - klima jednotky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ruční opatření proti požáru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p</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0,5</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Table.protectionInnerByPotential.text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Fyzické zábrany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xml:space="preserve">  Půda: Dotykový odpor &gt; 100 kOhm (Asfalt, linoleum, dřevo) </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0,00001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Opatření v jednotlivých vnitřních zonách Z</w:t>
            </w:r>
            <w:r>
              <w:rPr>
                <w:rStyle w:val="Siln"/>
                <w:rFonts w:ascii="Tahoma" w:eastAsia="Times New Roman" w:hAnsi="Tahoma" w:cs="Tahoma"/>
                <w:sz w:val="19"/>
                <w:szCs w:val="19"/>
                <w:vertAlign w:val="subscript"/>
              </w:rPr>
              <w:t>s</w:t>
            </w:r>
            <w:r>
              <w:rPr>
                <w:rStyle w:val="Siln"/>
                <w:rFonts w:ascii="Tahoma" w:eastAsia="Times New Roman" w:hAnsi="Tahoma" w:cs="Tahoma"/>
                <w:sz w:val="19"/>
                <w:szCs w:val="19"/>
              </w:rPr>
              <w: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Vnitřní prostory LPZ1 [LPZ 0/1]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ruční opatření proti požáru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p</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automatické opatření proti požáru</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p</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Table.protectionInnerByPotential.text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Fyzické zábrany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A</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w:t>
            </w:r>
            <w:r>
              <w:rPr>
                <w:rFonts w:ascii="Tahoma" w:eastAsia="Times New Roman" w:hAnsi="Tahoma" w:cs="Tahoma"/>
                <w:sz w:val="19"/>
                <w:szCs w:val="19"/>
              </w:rPr>
              <w:t xml:space="preserve">Půda: Dotykový odpor 10-100 kOhm (Štěrk, mozaika, koberec) </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w:t>
            </w:r>
            <w:r>
              <w:rPr>
                <w:rFonts w:ascii="Tahoma" w:eastAsia="Times New Roman" w:hAnsi="Tahoma" w:cs="Tahoma"/>
                <w:sz w:val="19"/>
                <w:szCs w:val="19"/>
                <w:vertAlign w:val="subscript"/>
              </w:rPr>
              <w:t>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0,0001</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lastRenderedPageBreak/>
              <w:t>Vnitřní systémy:</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EPS [Silová vedení [S]]</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Koordinovaná ochrana SPD</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SPD-4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Silnoproudá elektroinstalace [Silová vedení [S]]</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w:t>
            </w:r>
            <w:r>
              <w:rPr>
                <w:rFonts w:ascii="Tahoma" w:eastAsia="Times New Roman" w:hAnsi="Tahoma" w:cs="Tahoma"/>
                <w:sz w:val="19"/>
                <w:szCs w:val="19"/>
              </w:rPr>
              <w:t>Koordinovaná ochrana SPD</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SPD-4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Telefonní kabely [Telekomunikační vedení [T]]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Typ vnějších sítí: Stíněný kabel</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X</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Koordinovaná ochrana SPD</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SPD-4</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0,02</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Style w:val="Siln"/>
                <w:rFonts w:ascii="Tahoma" w:eastAsia="Times New Roman" w:hAnsi="Tahoma" w:cs="Tahoma"/>
                <w:sz w:val="19"/>
                <w:szCs w:val="19"/>
              </w:rPr>
              <w:t>LAN rozvody [Datové vedení [T]]</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    </w:t>
            </w:r>
            <w:r>
              <w:rPr>
                <w:rFonts w:ascii="Tahoma" w:eastAsia="Times New Roman" w:hAnsi="Tahoma" w:cs="Tahoma"/>
                <w:sz w:val="19"/>
                <w:szCs w:val="19"/>
              </w:rPr>
              <w:t>Typ vnějších sítí: Stíněný kabel</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P</w:t>
            </w:r>
            <w:r>
              <w:rPr>
                <w:rFonts w:ascii="Tahoma" w:eastAsia="Times New Roman" w:hAnsi="Tahoma" w:cs="Tahoma"/>
                <w:sz w:val="19"/>
                <w:szCs w:val="19"/>
                <w:vertAlign w:val="subscript"/>
              </w:rPr>
              <w:t>X</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0.0</w:t>
            </w: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c>
          <w:tcPr>
            <w:tcW w:w="0" w:type="auto"/>
            <w:tcBorders>
              <w:top w:val="single" w:sz="2" w:space="0" w:color="808080"/>
              <w:left w:val="single" w:sz="2" w:space="0" w:color="808080"/>
              <w:bottom w:val="single" w:sz="2" w:space="0" w:color="808080"/>
              <w:right w:val="single" w:sz="2" w:space="0" w:color="808080"/>
            </w:tcBorders>
            <w:shd w:val="clear" w:color="auto" w:fill="EEEEEE"/>
            <w:tcMar>
              <w:top w:w="45" w:type="dxa"/>
              <w:left w:w="45" w:type="dxa"/>
              <w:bottom w:w="45" w:type="dxa"/>
              <w:right w:w="300" w:type="dxa"/>
            </w:tcMar>
            <w:vAlign w:val="center"/>
            <w:hideMark/>
          </w:tcPr>
          <w:p w:rsidR="00000000" w:rsidRDefault="00904F06">
            <w:pPr>
              <w:spacing w:line="480" w:lineRule="atLeast"/>
              <w:rPr>
                <w:rFonts w:eastAsia="Times New Roman"/>
                <w:sz w:val="20"/>
                <w:szCs w:val="20"/>
              </w:rPr>
            </w:pPr>
          </w:p>
        </w:tc>
      </w:tr>
    </w:tbl>
    <w:p w:rsidR="00000000" w:rsidRDefault="00904F06">
      <w:pPr>
        <w:spacing w:line="480" w:lineRule="atLeast"/>
        <w:divId w:val="1837303656"/>
        <w:rPr>
          <w:rFonts w:ascii="Tahoma" w:eastAsia="Times New Roman" w:hAnsi="Tahoma" w:cs="Tahoma"/>
          <w:sz w:val="19"/>
          <w:szCs w:val="19"/>
        </w:rPr>
      </w:pPr>
    </w:p>
    <w:tbl>
      <w:tblPr>
        <w:tblW w:w="2500" w:type="pct"/>
        <w:tblCellSpacing w:w="15"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4A0" w:firstRow="1" w:lastRow="0" w:firstColumn="1" w:lastColumn="0" w:noHBand="0" w:noVBand="1"/>
      </w:tblPr>
      <w:tblGrid>
        <w:gridCol w:w="2828"/>
        <w:gridCol w:w="489"/>
        <w:gridCol w:w="1216"/>
      </w:tblGrid>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Další náklady</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Celková cena ochranných opatření</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Úroková míra</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Odpisová sazba</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Míra údržby</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Roční cena ochranných opatření</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w:t>
            </w:r>
          </w:p>
        </w:tc>
      </w:tr>
      <w:tr w:rsidR="00000000">
        <w:trPr>
          <w:divId w:val="1837303656"/>
          <w:tblCellSpacing w:w="15" w:type="dxa"/>
        </w:trPr>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Roční úspora peněz</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0</w:t>
            </w:r>
          </w:p>
        </w:tc>
        <w:tc>
          <w:tcPr>
            <w:tcW w:w="0" w:type="auto"/>
            <w:tcBorders>
              <w:top w:val="single" w:sz="2" w:space="0" w:color="808080"/>
              <w:left w:val="single" w:sz="2" w:space="0" w:color="808080"/>
              <w:bottom w:val="single" w:sz="2" w:space="0" w:color="808080"/>
              <w:right w:val="single" w:sz="2" w:space="0" w:color="808080"/>
            </w:tcBorders>
            <w:shd w:val="clear" w:color="auto" w:fill="FFFFFF"/>
            <w:tcMar>
              <w:top w:w="45" w:type="dxa"/>
              <w:left w:w="45" w:type="dxa"/>
              <w:bottom w:w="45" w:type="dxa"/>
              <w:right w:w="300" w:type="dxa"/>
            </w:tcMar>
            <w:vAlign w:val="center"/>
            <w:hideMark/>
          </w:tcPr>
          <w:p w:rsidR="00000000" w:rsidRDefault="00904F06">
            <w:pPr>
              <w:spacing w:line="480" w:lineRule="atLeast"/>
              <w:rPr>
                <w:rFonts w:ascii="Tahoma" w:eastAsia="Times New Roman" w:hAnsi="Tahoma" w:cs="Tahoma"/>
                <w:sz w:val="19"/>
                <w:szCs w:val="19"/>
              </w:rPr>
            </w:pPr>
            <w:r>
              <w:rPr>
                <w:rFonts w:ascii="Tahoma" w:eastAsia="Times New Roman" w:hAnsi="Tahoma" w:cs="Tahoma"/>
                <w:sz w:val="19"/>
                <w:szCs w:val="19"/>
              </w:rPr>
              <w:t>měna / rok</w:t>
            </w:r>
          </w:p>
        </w:tc>
      </w:tr>
    </w:tbl>
    <w:p w:rsidR="00904F06" w:rsidRDefault="00904F06">
      <w:pPr>
        <w:divId w:val="1837303656"/>
        <w:rPr>
          <w:rFonts w:eastAsia="Times New Roman"/>
        </w:rPr>
      </w:pPr>
    </w:p>
    <w:sectPr w:rsidR="00904F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Courier New">
    <w:panose1 w:val="02070309020205020404"/>
    <w:charset w:val="EE"/>
    <w:family w:val="modern"/>
    <w:pitch w:val="fixed"/>
    <w:sig w:usb0="E0002AFF" w:usb1="C0007843" w:usb2="00000009" w:usb3="00000000" w:csb0="000001FF" w:csb1="00000000"/>
  </w:font>
  <w:font w:name="Consolas">
    <w:panose1 w:val="020B0609020204030204"/>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365440"/>
    <w:rsid w:val="00365440"/>
    <w:rsid w:val="00904F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6A4994-6AD5-4F10-B06A-E39C921AC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rFonts w:eastAsiaTheme="minorEastAsia"/>
      <w:sz w:val="24"/>
      <w:szCs w:val="24"/>
    </w:rPr>
  </w:style>
  <w:style w:type="paragraph" w:styleId="Nadpis2">
    <w:name w:val="heading 2"/>
    <w:basedOn w:val="Normln"/>
    <w:link w:val="Nadpis2Char"/>
    <w:uiPriority w:val="9"/>
    <w:qFormat/>
    <w:pPr>
      <w:pBdr>
        <w:top w:val="single" w:sz="6" w:space="8" w:color="808080"/>
        <w:left w:val="single" w:sz="36" w:space="8" w:color="808080"/>
        <w:bottom w:val="single" w:sz="36" w:space="8" w:color="808080"/>
        <w:right w:val="single" w:sz="6" w:space="8" w:color="808080"/>
      </w:pBdr>
      <w:shd w:val="clear" w:color="auto" w:fill="EEEEEE"/>
      <w:spacing w:before="1200" w:after="100" w:afterAutospacing="1"/>
      <w:outlineLvl w:val="1"/>
    </w:pPr>
    <w:rPr>
      <w:b/>
      <w:bCs/>
      <w:caps/>
      <w:sz w:val="26"/>
      <w:szCs w:val="26"/>
    </w:rPr>
  </w:style>
  <w:style w:type="paragraph" w:styleId="Nadpis3">
    <w:name w:val="heading 3"/>
    <w:basedOn w:val="Normln"/>
    <w:link w:val="Nadpis3Char"/>
    <w:uiPriority w:val="9"/>
    <w:qFormat/>
    <w:pPr>
      <w:pBdr>
        <w:top w:val="single" w:sz="6" w:space="4" w:color="808080"/>
        <w:left w:val="single" w:sz="6" w:space="4" w:color="808080"/>
        <w:bottom w:val="single" w:sz="6" w:space="4" w:color="808080"/>
        <w:right w:val="single" w:sz="6" w:space="4" w:color="808080"/>
      </w:pBdr>
      <w:shd w:val="clear" w:color="auto" w:fill="DDDDDD"/>
      <w:spacing w:before="100" w:beforeAutospacing="1" w:after="100" w:afterAutospacing="1"/>
      <w:outlineLvl w:val="2"/>
    </w:pPr>
    <w:rPr>
      <w:b/>
      <w:bCs/>
    </w:rPr>
  </w:style>
  <w:style w:type="paragraph" w:styleId="Nadpis4">
    <w:name w:val="heading 4"/>
    <w:basedOn w:val="Normln"/>
    <w:link w:val="Nadpis4Char"/>
    <w:uiPriority w:val="9"/>
    <w:qFormat/>
    <w:pPr>
      <w:spacing w:before="100" w:beforeAutospacing="1" w:after="100" w:afterAutospacing="1"/>
      <w:outlineLvl w:val="3"/>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semiHidden/>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semiHidden/>
    <w:rPr>
      <w:rFonts w:asciiTheme="majorHAnsi" w:eastAsiaTheme="majorEastAsia" w:hAnsiTheme="majorHAnsi" w:cstheme="majorBidi"/>
      <w:color w:val="1F3763" w:themeColor="accent1" w:themeShade="7F"/>
      <w:sz w:val="24"/>
      <w:szCs w:val="24"/>
    </w:rPr>
  </w:style>
  <w:style w:type="paragraph" w:customStyle="1" w:styleId="msonormal0">
    <w:name w:val="msonormal"/>
    <w:basedOn w:val="Normln"/>
    <w:pPr>
      <w:spacing w:before="100" w:beforeAutospacing="1" w:after="100" w:afterAutospacing="1"/>
    </w:pPr>
  </w:style>
  <w:style w:type="paragraph" w:customStyle="1" w:styleId="padded">
    <w:name w:val="padded"/>
    <w:basedOn w:val="Normln"/>
    <w:pPr>
      <w:spacing w:before="100" w:beforeAutospacing="1" w:after="100" w:afterAutospacing="1"/>
    </w:pPr>
  </w:style>
  <w:style w:type="paragraph" w:styleId="FormtovanvHTML">
    <w:name w:val="HTML Preformatted"/>
    <w:basedOn w:val="Normln"/>
    <w:link w:val="Formtovanv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semiHidden/>
    <w:rPr>
      <w:rFonts w:ascii="Consolas" w:eastAsiaTheme="minorEastAsia" w:hAnsi="Consolas"/>
    </w:rPr>
  </w:style>
  <w:style w:type="character" w:customStyle="1" w:styleId="Nadpis4Char">
    <w:name w:val="Nadpis 4 Char"/>
    <w:basedOn w:val="Standardnpsmoodstavce"/>
    <w:link w:val="Nadpis4"/>
    <w:uiPriority w:val="9"/>
    <w:semiHidden/>
    <w:rPr>
      <w:rFonts w:asciiTheme="majorHAnsi" w:eastAsiaTheme="majorEastAsia" w:hAnsiTheme="majorHAnsi" w:cstheme="majorBidi"/>
      <w:i/>
      <w:iCs/>
      <w:color w:val="2F5496" w:themeColor="accent1" w:themeShade="BF"/>
      <w:sz w:val="24"/>
      <w:szCs w:val="24"/>
    </w:rPr>
  </w:style>
  <w:style w:type="character" w:styleId="Siln">
    <w:name w:val="Strong"/>
    <w:basedOn w:val="Standardnpsmoodstavce"/>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375772">
      <w:marLeft w:val="0"/>
      <w:marRight w:val="0"/>
      <w:marTop w:val="0"/>
      <w:marBottom w:val="0"/>
      <w:divBdr>
        <w:top w:val="none" w:sz="0" w:space="0" w:color="auto"/>
        <w:left w:val="none" w:sz="0" w:space="0" w:color="auto"/>
        <w:bottom w:val="none" w:sz="0" w:space="0" w:color="auto"/>
        <w:right w:val="none" w:sz="0" w:space="0" w:color="auto"/>
      </w:divBdr>
      <w:divsChild>
        <w:div w:id="1209952754">
          <w:marLeft w:val="0"/>
          <w:marRight w:val="0"/>
          <w:marTop w:val="0"/>
          <w:marBottom w:val="0"/>
          <w:divBdr>
            <w:top w:val="none" w:sz="0" w:space="0" w:color="auto"/>
            <w:left w:val="none" w:sz="0" w:space="0" w:color="auto"/>
            <w:bottom w:val="none" w:sz="0" w:space="0" w:color="auto"/>
            <w:right w:val="none" w:sz="0" w:space="0" w:color="auto"/>
          </w:divBdr>
          <w:divsChild>
            <w:div w:id="474881132">
              <w:marLeft w:val="0"/>
              <w:marRight w:val="0"/>
              <w:marTop w:val="0"/>
              <w:marBottom w:val="0"/>
              <w:divBdr>
                <w:top w:val="none" w:sz="0" w:space="0" w:color="auto"/>
                <w:left w:val="none" w:sz="0" w:space="0" w:color="auto"/>
                <w:bottom w:val="none" w:sz="0" w:space="0" w:color="auto"/>
                <w:right w:val="none" w:sz="0" w:space="0" w:color="auto"/>
              </w:divBdr>
            </w:div>
            <w:div w:id="611011783">
              <w:marLeft w:val="0"/>
              <w:marRight w:val="0"/>
              <w:marTop w:val="0"/>
              <w:marBottom w:val="0"/>
              <w:divBdr>
                <w:top w:val="none" w:sz="0" w:space="0" w:color="auto"/>
                <w:left w:val="none" w:sz="0" w:space="0" w:color="auto"/>
                <w:bottom w:val="none" w:sz="0" w:space="0" w:color="auto"/>
                <w:right w:val="none" w:sz="0" w:space="0" w:color="auto"/>
              </w:divBdr>
              <w:divsChild>
                <w:div w:id="1989505320">
                  <w:marLeft w:val="0"/>
                  <w:marRight w:val="0"/>
                  <w:marTop w:val="0"/>
                  <w:marBottom w:val="0"/>
                  <w:divBdr>
                    <w:top w:val="none" w:sz="0" w:space="0" w:color="auto"/>
                    <w:left w:val="none" w:sz="0" w:space="0" w:color="auto"/>
                    <w:bottom w:val="none" w:sz="0" w:space="0" w:color="auto"/>
                    <w:right w:val="none" w:sz="0" w:space="0" w:color="auto"/>
                  </w:divBdr>
                </w:div>
              </w:divsChild>
            </w:div>
            <w:div w:id="2063673048">
              <w:marLeft w:val="0"/>
              <w:marRight w:val="0"/>
              <w:marTop w:val="0"/>
              <w:marBottom w:val="0"/>
              <w:divBdr>
                <w:top w:val="none" w:sz="0" w:space="0" w:color="auto"/>
                <w:left w:val="none" w:sz="0" w:space="0" w:color="auto"/>
                <w:bottom w:val="none" w:sz="0" w:space="0" w:color="auto"/>
                <w:right w:val="none" w:sz="0" w:space="0" w:color="auto"/>
              </w:divBdr>
            </w:div>
            <w:div w:id="2114860745">
              <w:marLeft w:val="0"/>
              <w:marRight w:val="0"/>
              <w:marTop w:val="0"/>
              <w:marBottom w:val="0"/>
              <w:divBdr>
                <w:top w:val="none" w:sz="0" w:space="0" w:color="auto"/>
                <w:left w:val="none" w:sz="0" w:space="0" w:color="auto"/>
                <w:bottom w:val="none" w:sz="0" w:space="0" w:color="auto"/>
                <w:right w:val="none" w:sz="0" w:space="0" w:color="auto"/>
              </w:divBdr>
              <w:divsChild>
                <w:div w:id="1307858623">
                  <w:marLeft w:val="0"/>
                  <w:marRight w:val="0"/>
                  <w:marTop w:val="0"/>
                  <w:marBottom w:val="0"/>
                  <w:divBdr>
                    <w:top w:val="none" w:sz="0" w:space="0" w:color="auto"/>
                    <w:left w:val="none" w:sz="0" w:space="0" w:color="auto"/>
                    <w:bottom w:val="none" w:sz="0" w:space="0" w:color="auto"/>
                    <w:right w:val="none" w:sz="0" w:space="0" w:color="auto"/>
                  </w:divBdr>
                </w:div>
              </w:divsChild>
            </w:div>
            <w:div w:id="1575971679">
              <w:marLeft w:val="0"/>
              <w:marRight w:val="0"/>
              <w:marTop w:val="0"/>
              <w:marBottom w:val="0"/>
              <w:divBdr>
                <w:top w:val="none" w:sz="0" w:space="0" w:color="auto"/>
                <w:left w:val="none" w:sz="0" w:space="0" w:color="auto"/>
                <w:bottom w:val="none" w:sz="0" w:space="0" w:color="auto"/>
                <w:right w:val="none" w:sz="0" w:space="0" w:color="auto"/>
              </w:divBdr>
            </w:div>
            <w:div w:id="1888951021">
              <w:marLeft w:val="0"/>
              <w:marRight w:val="0"/>
              <w:marTop w:val="0"/>
              <w:marBottom w:val="0"/>
              <w:divBdr>
                <w:top w:val="none" w:sz="0" w:space="0" w:color="auto"/>
                <w:left w:val="none" w:sz="0" w:space="0" w:color="auto"/>
                <w:bottom w:val="none" w:sz="0" w:space="0" w:color="auto"/>
                <w:right w:val="none" w:sz="0" w:space="0" w:color="auto"/>
              </w:divBdr>
              <w:divsChild>
                <w:div w:id="1199855808">
                  <w:marLeft w:val="0"/>
                  <w:marRight w:val="0"/>
                  <w:marTop w:val="0"/>
                  <w:marBottom w:val="0"/>
                  <w:divBdr>
                    <w:top w:val="none" w:sz="0" w:space="0" w:color="auto"/>
                    <w:left w:val="none" w:sz="0" w:space="0" w:color="auto"/>
                    <w:bottom w:val="none" w:sz="0" w:space="0" w:color="auto"/>
                    <w:right w:val="none" w:sz="0" w:space="0" w:color="auto"/>
                  </w:divBdr>
                </w:div>
              </w:divsChild>
            </w:div>
            <w:div w:id="1272400474">
              <w:marLeft w:val="0"/>
              <w:marRight w:val="0"/>
              <w:marTop w:val="0"/>
              <w:marBottom w:val="0"/>
              <w:divBdr>
                <w:top w:val="none" w:sz="0" w:space="0" w:color="auto"/>
                <w:left w:val="none" w:sz="0" w:space="0" w:color="auto"/>
                <w:bottom w:val="none" w:sz="0" w:space="0" w:color="auto"/>
                <w:right w:val="none" w:sz="0" w:space="0" w:color="auto"/>
              </w:divBdr>
              <w:divsChild>
                <w:div w:id="429157068">
                  <w:marLeft w:val="0"/>
                  <w:marRight w:val="0"/>
                  <w:marTop w:val="0"/>
                  <w:marBottom w:val="0"/>
                  <w:divBdr>
                    <w:top w:val="none" w:sz="0" w:space="0" w:color="auto"/>
                    <w:left w:val="none" w:sz="0" w:space="0" w:color="auto"/>
                    <w:bottom w:val="none" w:sz="0" w:space="0" w:color="auto"/>
                    <w:right w:val="none" w:sz="0" w:space="0" w:color="auto"/>
                  </w:divBdr>
                  <w:divsChild>
                    <w:div w:id="326906379">
                      <w:marLeft w:val="0"/>
                      <w:marRight w:val="0"/>
                      <w:marTop w:val="0"/>
                      <w:marBottom w:val="0"/>
                      <w:divBdr>
                        <w:top w:val="none" w:sz="0" w:space="0" w:color="auto"/>
                        <w:left w:val="none" w:sz="0" w:space="0" w:color="auto"/>
                        <w:bottom w:val="none" w:sz="0" w:space="0" w:color="auto"/>
                        <w:right w:val="none" w:sz="0" w:space="0" w:color="auto"/>
                      </w:divBdr>
                    </w:div>
                    <w:div w:id="16384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53215">
              <w:marLeft w:val="0"/>
              <w:marRight w:val="0"/>
              <w:marTop w:val="0"/>
              <w:marBottom w:val="0"/>
              <w:divBdr>
                <w:top w:val="none" w:sz="0" w:space="0" w:color="auto"/>
                <w:left w:val="none" w:sz="0" w:space="0" w:color="auto"/>
                <w:bottom w:val="none" w:sz="0" w:space="0" w:color="auto"/>
                <w:right w:val="none" w:sz="0" w:space="0" w:color="auto"/>
              </w:divBdr>
              <w:divsChild>
                <w:div w:id="803158672">
                  <w:marLeft w:val="0"/>
                  <w:marRight w:val="0"/>
                  <w:marTop w:val="0"/>
                  <w:marBottom w:val="0"/>
                  <w:divBdr>
                    <w:top w:val="none" w:sz="0" w:space="0" w:color="auto"/>
                    <w:left w:val="none" w:sz="0" w:space="0" w:color="auto"/>
                    <w:bottom w:val="none" w:sz="0" w:space="0" w:color="auto"/>
                    <w:right w:val="none" w:sz="0" w:space="0" w:color="auto"/>
                  </w:divBdr>
                  <w:divsChild>
                    <w:div w:id="266546507">
                      <w:marLeft w:val="0"/>
                      <w:marRight w:val="0"/>
                      <w:marTop w:val="0"/>
                      <w:marBottom w:val="0"/>
                      <w:divBdr>
                        <w:top w:val="none" w:sz="0" w:space="0" w:color="auto"/>
                        <w:left w:val="none" w:sz="0" w:space="0" w:color="auto"/>
                        <w:bottom w:val="none" w:sz="0" w:space="0" w:color="auto"/>
                        <w:right w:val="none" w:sz="0" w:space="0" w:color="auto"/>
                      </w:divBdr>
                    </w:div>
                    <w:div w:id="10468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29097">
              <w:marLeft w:val="0"/>
              <w:marRight w:val="0"/>
              <w:marTop w:val="0"/>
              <w:marBottom w:val="0"/>
              <w:divBdr>
                <w:top w:val="none" w:sz="0" w:space="0" w:color="auto"/>
                <w:left w:val="none" w:sz="0" w:space="0" w:color="auto"/>
                <w:bottom w:val="none" w:sz="0" w:space="0" w:color="auto"/>
                <w:right w:val="none" w:sz="0" w:space="0" w:color="auto"/>
              </w:divBdr>
              <w:divsChild>
                <w:div w:id="644436941">
                  <w:marLeft w:val="0"/>
                  <w:marRight w:val="0"/>
                  <w:marTop w:val="0"/>
                  <w:marBottom w:val="0"/>
                  <w:divBdr>
                    <w:top w:val="none" w:sz="0" w:space="0" w:color="auto"/>
                    <w:left w:val="none" w:sz="0" w:space="0" w:color="auto"/>
                    <w:bottom w:val="none" w:sz="0" w:space="0" w:color="auto"/>
                    <w:right w:val="none" w:sz="0" w:space="0" w:color="auto"/>
                  </w:divBdr>
                </w:div>
              </w:divsChild>
            </w:div>
            <w:div w:id="345904707">
              <w:marLeft w:val="0"/>
              <w:marRight w:val="0"/>
              <w:marTop w:val="0"/>
              <w:marBottom w:val="0"/>
              <w:divBdr>
                <w:top w:val="none" w:sz="0" w:space="0" w:color="auto"/>
                <w:left w:val="none" w:sz="0" w:space="0" w:color="auto"/>
                <w:bottom w:val="none" w:sz="0" w:space="0" w:color="auto"/>
                <w:right w:val="none" w:sz="0" w:space="0" w:color="auto"/>
              </w:divBdr>
              <w:divsChild>
                <w:div w:id="25451724">
                  <w:marLeft w:val="0"/>
                  <w:marRight w:val="0"/>
                  <w:marTop w:val="0"/>
                  <w:marBottom w:val="0"/>
                  <w:divBdr>
                    <w:top w:val="none" w:sz="0" w:space="0" w:color="auto"/>
                    <w:left w:val="none" w:sz="0" w:space="0" w:color="auto"/>
                    <w:bottom w:val="none" w:sz="0" w:space="0" w:color="auto"/>
                    <w:right w:val="none" w:sz="0" w:space="0" w:color="auto"/>
                  </w:divBdr>
                  <w:divsChild>
                    <w:div w:id="782959939">
                      <w:marLeft w:val="0"/>
                      <w:marRight w:val="0"/>
                      <w:marTop w:val="0"/>
                      <w:marBottom w:val="0"/>
                      <w:divBdr>
                        <w:top w:val="none" w:sz="0" w:space="0" w:color="auto"/>
                        <w:left w:val="none" w:sz="0" w:space="0" w:color="auto"/>
                        <w:bottom w:val="none" w:sz="0" w:space="0" w:color="auto"/>
                        <w:right w:val="none" w:sz="0" w:space="0" w:color="auto"/>
                      </w:divBdr>
                    </w:div>
                    <w:div w:id="1623925221">
                      <w:marLeft w:val="0"/>
                      <w:marRight w:val="0"/>
                      <w:marTop w:val="0"/>
                      <w:marBottom w:val="0"/>
                      <w:divBdr>
                        <w:top w:val="none" w:sz="0" w:space="0" w:color="auto"/>
                        <w:left w:val="none" w:sz="0" w:space="0" w:color="auto"/>
                        <w:bottom w:val="none" w:sz="0" w:space="0" w:color="auto"/>
                        <w:right w:val="none" w:sz="0" w:space="0" w:color="auto"/>
                      </w:divBdr>
                    </w:div>
                    <w:div w:id="1351948211">
                      <w:marLeft w:val="0"/>
                      <w:marRight w:val="0"/>
                      <w:marTop w:val="0"/>
                      <w:marBottom w:val="0"/>
                      <w:divBdr>
                        <w:top w:val="none" w:sz="0" w:space="0" w:color="auto"/>
                        <w:left w:val="none" w:sz="0" w:space="0" w:color="auto"/>
                        <w:bottom w:val="none" w:sz="0" w:space="0" w:color="auto"/>
                        <w:right w:val="none" w:sz="0" w:space="0" w:color="auto"/>
                      </w:divBdr>
                    </w:div>
                    <w:div w:id="112507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02080">
              <w:marLeft w:val="0"/>
              <w:marRight w:val="0"/>
              <w:marTop w:val="0"/>
              <w:marBottom w:val="0"/>
              <w:divBdr>
                <w:top w:val="none" w:sz="0" w:space="0" w:color="auto"/>
                <w:left w:val="none" w:sz="0" w:space="0" w:color="auto"/>
                <w:bottom w:val="none" w:sz="0" w:space="0" w:color="auto"/>
                <w:right w:val="none" w:sz="0" w:space="0" w:color="auto"/>
              </w:divBdr>
              <w:divsChild>
                <w:div w:id="821502841">
                  <w:marLeft w:val="0"/>
                  <w:marRight w:val="0"/>
                  <w:marTop w:val="0"/>
                  <w:marBottom w:val="0"/>
                  <w:divBdr>
                    <w:top w:val="none" w:sz="0" w:space="0" w:color="auto"/>
                    <w:left w:val="none" w:sz="0" w:space="0" w:color="auto"/>
                    <w:bottom w:val="none" w:sz="0" w:space="0" w:color="auto"/>
                    <w:right w:val="none" w:sz="0" w:space="0" w:color="auto"/>
                  </w:divBdr>
                  <w:divsChild>
                    <w:div w:id="54467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59532">
              <w:marLeft w:val="0"/>
              <w:marRight w:val="0"/>
              <w:marTop w:val="0"/>
              <w:marBottom w:val="0"/>
              <w:divBdr>
                <w:top w:val="none" w:sz="0" w:space="0" w:color="auto"/>
                <w:left w:val="none" w:sz="0" w:space="0" w:color="auto"/>
                <w:bottom w:val="none" w:sz="0" w:space="0" w:color="auto"/>
                <w:right w:val="none" w:sz="0" w:space="0" w:color="auto"/>
              </w:divBdr>
            </w:div>
            <w:div w:id="1826700351">
              <w:marLeft w:val="0"/>
              <w:marRight w:val="0"/>
              <w:marTop w:val="0"/>
              <w:marBottom w:val="0"/>
              <w:divBdr>
                <w:top w:val="none" w:sz="0" w:space="0" w:color="auto"/>
                <w:left w:val="none" w:sz="0" w:space="0" w:color="auto"/>
                <w:bottom w:val="none" w:sz="0" w:space="0" w:color="auto"/>
                <w:right w:val="none" w:sz="0" w:space="0" w:color="auto"/>
              </w:divBdr>
            </w:div>
          </w:divsChild>
        </w:div>
        <w:div w:id="885525220">
          <w:marLeft w:val="0"/>
          <w:marRight w:val="0"/>
          <w:marTop w:val="0"/>
          <w:marBottom w:val="0"/>
          <w:divBdr>
            <w:top w:val="none" w:sz="0" w:space="0" w:color="auto"/>
            <w:left w:val="none" w:sz="0" w:space="0" w:color="auto"/>
            <w:bottom w:val="none" w:sz="0" w:space="0" w:color="auto"/>
            <w:right w:val="none" w:sz="0" w:space="0" w:color="auto"/>
          </w:divBdr>
          <w:divsChild>
            <w:div w:id="127285222">
              <w:marLeft w:val="0"/>
              <w:marRight w:val="0"/>
              <w:marTop w:val="0"/>
              <w:marBottom w:val="0"/>
              <w:divBdr>
                <w:top w:val="none" w:sz="0" w:space="0" w:color="auto"/>
                <w:left w:val="none" w:sz="0" w:space="0" w:color="auto"/>
                <w:bottom w:val="none" w:sz="0" w:space="0" w:color="auto"/>
                <w:right w:val="none" w:sz="0" w:space="0" w:color="auto"/>
              </w:divBdr>
            </w:div>
            <w:div w:id="283122300">
              <w:marLeft w:val="0"/>
              <w:marRight w:val="0"/>
              <w:marTop w:val="0"/>
              <w:marBottom w:val="0"/>
              <w:divBdr>
                <w:top w:val="none" w:sz="0" w:space="0" w:color="auto"/>
                <w:left w:val="none" w:sz="0" w:space="0" w:color="auto"/>
                <w:bottom w:val="none" w:sz="0" w:space="0" w:color="auto"/>
                <w:right w:val="none" w:sz="0" w:space="0" w:color="auto"/>
              </w:divBdr>
              <w:divsChild>
                <w:div w:id="430589287">
                  <w:marLeft w:val="0"/>
                  <w:marRight w:val="0"/>
                  <w:marTop w:val="0"/>
                  <w:marBottom w:val="0"/>
                  <w:divBdr>
                    <w:top w:val="none" w:sz="0" w:space="0" w:color="auto"/>
                    <w:left w:val="none" w:sz="0" w:space="0" w:color="auto"/>
                    <w:bottom w:val="none" w:sz="0" w:space="0" w:color="auto"/>
                    <w:right w:val="none" w:sz="0" w:space="0" w:color="auto"/>
                  </w:divBdr>
                </w:div>
              </w:divsChild>
            </w:div>
            <w:div w:id="192235484">
              <w:marLeft w:val="0"/>
              <w:marRight w:val="0"/>
              <w:marTop w:val="0"/>
              <w:marBottom w:val="0"/>
              <w:divBdr>
                <w:top w:val="none" w:sz="0" w:space="0" w:color="auto"/>
                <w:left w:val="none" w:sz="0" w:space="0" w:color="auto"/>
                <w:bottom w:val="none" w:sz="0" w:space="0" w:color="auto"/>
                <w:right w:val="none" w:sz="0" w:space="0" w:color="auto"/>
              </w:divBdr>
            </w:div>
            <w:div w:id="1014767277">
              <w:marLeft w:val="0"/>
              <w:marRight w:val="0"/>
              <w:marTop w:val="0"/>
              <w:marBottom w:val="0"/>
              <w:divBdr>
                <w:top w:val="none" w:sz="0" w:space="0" w:color="auto"/>
                <w:left w:val="none" w:sz="0" w:space="0" w:color="auto"/>
                <w:bottom w:val="none" w:sz="0" w:space="0" w:color="auto"/>
                <w:right w:val="none" w:sz="0" w:space="0" w:color="auto"/>
              </w:divBdr>
              <w:divsChild>
                <w:div w:id="1450008924">
                  <w:marLeft w:val="0"/>
                  <w:marRight w:val="0"/>
                  <w:marTop w:val="0"/>
                  <w:marBottom w:val="0"/>
                  <w:divBdr>
                    <w:top w:val="none" w:sz="0" w:space="0" w:color="auto"/>
                    <w:left w:val="none" w:sz="0" w:space="0" w:color="auto"/>
                    <w:bottom w:val="none" w:sz="0" w:space="0" w:color="auto"/>
                    <w:right w:val="none" w:sz="0" w:space="0" w:color="auto"/>
                  </w:divBdr>
                </w:div>
              </w:divsChild>
            </w:div>
            <w:div w:id="1392969136">
              <w:marLeft w:val="0"/>
              <w:marRight w:val="0"/>
              <w:marTop w:val="0"/>
              <w:marBottom w:val="0"/>
              <w:divBdr>
                <w:top w:val="none" w:sz="0" w:space="0" w:color="auto"/>
                <w:left w:val="none" w:sz="0" w:space="0" w:color="auto"/>
                <w:bottom w:val="none" w:sz="0" w:space="0" w:color="auto"/>
                <w:right w:val="none" w:sz="0" w:space="0" w:color="auto"/>
              </w:divBdr>
            </w:div>
            <w:div w:id="235212026">
              <w:marLeft w:val="0"/>
              <w:marRight w:val="0"/>
              <w:marTop w:val="0"/>
              <w:marBottom w:val="0"/>
              <w:divBdr>
                <w:top w:val="none" w:sz="0" w:space="0" w:color="auto"/>
                <w:left w:val="none" w:sz="0" w:space="0" w:color="auto"/>
                <w:bottom w:val="none" w:sz="0" w:space="0" w:color="auto"/>
                <w:right w:val="none" w:sz="0" w:space="0" w:color="auto"/>
              </w:divBdr>
              <w:divsChild>
                <w:div w:id="956910577">
                  <w:marLeft w:val="0"/>
                  <w:marRight w:val="0"/>
                  <w:marTop w:val="0"/>
                  <w:marBottom w:val="0"/>
                  <w:divBdr>
                    <w:top w:val="none" w:sz="0" w:space="0" w:color="auto"/>
                    <w:left w:val="none" w:sz="0" w:space="0" w:color="auto"/>
                    <w:bottom w:val="none" w:sz="0" w:space="0" w:color="auto"/>
                    <w:right w:val="none" w:sz="0" w:space="0" w:color="auto"/>
                  </w:divBdr>
                </w:div>
              </w:divsChild>
            </w:div>
            <w:div w:id="1935672233">
              <w:marLeft w:val="0"/>
              <w:marRight w:val="0"/>
              <w:marTop w:val="0"/>
              <w:marBottom w:val="0"/>
              <w:divBdr>
                <w:top w:val="none" w:sz="0" w:space="0" w:color="auto"/>
                <w:left w:val="none" w:sz="0" w:space="0" w:color="auto"/>
                <w:bottom w:val="none" w:sz="0" w:space="0" w:color="auto"/>
                <w:right w:val="none" w:sz="0" w:space="0" w:color="auto"/>
              </w:divBdr>
              <w:divsChild>
                <w:div w:id="833374366">
                  <w:marLeft w:val="0"/>
                  <w:marRight w:val="0"/>
                  <w:marTop w:val="0"/>
                  <w:marBottom w:val="0"/>
                  <w:divBdr>
                    <w:top w:val="none" w:sz="0" w:space="0" w:color="auto"/>
                    <w:left w:val="none" w:sz="0" w:space="0" w:color="auto"/>
                    <w:bottom w:val="none" w:sz="0" w:space="0" w:color="auto"/>
                    <w:right w:val="none" w:sz="0" w:space="0" w:color="auto"/>
                  </w:divBdr>
                  <w:divsChild>
                    <w:div w:id="1593008361">
                      <w:marLeft w:val="0"/>
                      <w:marRight w:val="0"/>
                      <w:marTop w:val="0"/>
                      <w:marBottom w:val="0"/>
                      <w:divBdr>
                        <w:top w:val="none" w:sz="0" w:space="0" w:color="auto"/>
                        <w:left w:val="none" w:sz="0" w:space="0" w:color="auto"/>
                        <w:bottom w:val="none" w:sz="0" w:space="0" w:color="auto"/>
                        <w:right w:val="none" w:sz="0" w:space="0" w:color="auto"/>
                      </w:divBdr>
                    </w:div>
                    <w:div w:id="17088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45654">
              <w:marLeft w:val="0"/>
              <w:marRight w:val="0"/>
              <w:marTop w:val="0"/>
              <w:marBottom w:val="0"/>
              <w:divBdr>
                <w:top w:val="none" w:sz="0" w:space="0" w:color="auto"/>
                <w:left w:val="none" w:sz="0" w:space="0" w:color="auto"/>
                <w:bottom w:val="none" w:sz="0" w:space="0" w:color="auto"/>
                <w:right w:val="none" w:sz="0" w:space="0" w:color="auto"/>
              </w:divBdr>
              <w:divsChild>
                <w:div w:id="1428573923">
                  <w:marLeft w:val="0"/>
                  <w:marRight w:val="0"/>
                  <w:marTop w:val="0"/>
                  <w:marBottom w:val="0"/>
                  <w:divBdr>
                    <w:top w:val="none" w:sz="0" w:space="0" w:color="auto"/>
                    <w:left w:val="none" w:sz="0" w:space="0" w:color="auto"/>
                    <w:bottom w:val="none" w:sz="0" w:space="0" w:color="auto"/>
                    <w:right w:val="none" w:sz="0" w:space="0" w:color="auto"/>
                  </w:divBdr>
                  <w:divsChild>
                    <w:div w:id="2090694395">
                      <w:marLeft w:val="0"/>
                      <w:marRight w:val="0"/>
                      <w:marTop w:val="0"/>
                      <w:marBottom w:val="0"/>
                      <w:divBdr>
                        <w:top w:val="none" w:sz="0" w:space="0" w:color="auto"/>
                        <w:left w:val="none" w:sz="0" w:space="0" w:color="auto"/>
                        <w:bottom w:val="none" w:sz="0" w:space="0" w:color="auto"/>
                        <w:right w:val="none" w:sz="0" w:space="0" w:color="auto"/>
                      </w:divBdr>
                    </w:div>
                    <w:div w:id="57169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221990">
              <w:marLeft w:val="0"/>
              <w:marRight w:val="0"/>
              <w:marTop w:val="0"/>
              <w:marBottom w:val="0"/>
              <w:divBdr>
                <w:top w:val="none" w:sz="0" w:space="0" w:color="auto"/>
                <w:left w:val="none" w:sz="0" w:space="0" w:color="auto"/>
                <w:bottom w:val="none" w:sz="0" w:space="0" w:color="auto"/>
                <w:right w:val="none" w:sz="0" w:space="0" w:color="auto"/>
              </w:divBdr>
              <w:divsChild>
                <w:div w:id="394278859">
                  <w:marLeft w:val="0"/>
                  <w:marRight w:val="0"/>
                  <w:marTop w:val="0"/>
                  <w:marBottom w:val="0"/>
                  <w:divBdr>
                    <w:top w:val="none" w:sz="0" w:space="0" w:color="auto"/>
                    <w:left w:val="none" w:sz="0" w:space="0" w:color="auto"/>
                    <w:bottom w:val="none" w:sz="0" w:space="0" w:color="auto"/>
                    <w:right w:val="none" w:sz="0" w:space="0" w:color="auto"/>
                  </w:divBdr>
                </w:div>
              </w:divsChild>
            </w:div>
            <w:div w:id="583150059">
              <w:marLeft w:val="0"/>
              <w:marRight w:val="0"/>
              <w:marTop w:val="0"/>
              <w:marBottom w:val="0"/>
              <w:divBdr>
                <w:top w:val="none" w:sz="0" w:space="0" w:color="auto"/>
                <w:left w:val="none" w:sz="0" w:space="0" w:color="auto"/>
                <w:bottom w:val="none" w:sz="0" w:space="0" w:color="auto"/>
                <w:right w:val="none" w:sz="0" w:space="0" w:color="auto"/>
              </w:divBdr>
              <w:divsChild>
                <w:div w:id="1204365172">
                  <w:marLeft w:val="0"/>
                  <w:marRight w:val="0"/>
                  <w:marTop w:val="0"/>
                  <w:marBottom w:val="0"/>
                  <w:divBdr>
                    <w:top w:val="none" w:sz="0" w:space="0" w:color="auto"/>
                    <w:left w:val="none" w:sz="0" w:space="0" w:color="auto"/>
                    <w:bottom w:val="none" w:sz="0" w:space="0" w:color="auto"/>
                    <w:right w:val="none" w:sz="0" w:space="0" w:color="auto"/>
                  </w:divBdr>
                  <w:divsChild>
                    <w:div w:id="1213535732">
                      <w:marLeft w:val="0"/>
                      <w:marRight w:val="0"/>
                      <w:marTop w:val="0"/>
                      <w:marBottom w:val="0"/>
                      <w:divBdr>
                        <w:top w:val="none" w:sz="0" w:space="0" w:color="auto"/>
                        <w:left w:val="none" w:sz="0" w:space="0" w:color="auto"/>
                        <w:bottom w:val="none" w:sz="0" w:space="0" w:color="auto"/>
                        <w:right w:val="none" w:sz="0" w:space="0" w:color="auto"/>
                      </w:divBdr>
                    </w:div>
                    <w:div w:id="1075592662">
                      <w:marLeft w:val="0"/>
                      <w:marRight w:val="0"/>
                      <w:marTop w:val="0"/>
                      <w:marBottom w:val="0"/>
                      <w:divBdr>
                        <w:top w:val="none" w:sz="0" w:space="0" w:color="auto"/>
                        <w:left w:val="none" w:sz="0" w:space="0" w:color="auto"/>
                        <w:bottom w:val="none" w:sz="0" w:space="0" w:color="auto"/>
                        <w:right w:val="none" w:sz="0" w:space="0" w:color="auto"/>
                      </w:divBdr>
                    </w:div>
                    <w:div w:id="1266617093">
                      <w:marLeft w:val="0"/>
                      <w:marRight w:val="0"/>
                      <w:marTop w:val="0"/>
                      <w:marBottom w:val="0"/>
                      <w:divBdr>
                        <w:top w:val="none" w:sz="0" w:space="0" w:color="auto"/>
                        <w:left w:val="none" w:sz="0" w:space="0" w:color="auto"/>
                        <w:bottom w:val="none" w:sz="0" w:space="0" w:color="auto"/>
                        <w:right w:val="none" w:sz="0" w:space="0" w:color="auto"/>
                      </w:divBdr>
                    </w:div>
                    <w:div w:id="94426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369718">
              <w:marLeft w:val="0"/>
              <w:marRight w:val="0"/>
              <w:marTop w:val="0"/>
              <w:marBottom w:val="0"/>
              <w:divBdr>
                <w:top w:val="none" w:sz="0" w:space="0" w:color="auto"/>
                <w:left w:val="none" w:sz="0" w:space="0" w:color="auto"/>
                <w:bottom w:val="none" w:sz="0" w:space="0" w:color="auto"/>
                <w:right w:val="none" w:sz="0" w:space="0" w:color="auto"/>
              </w:divBdr>
              <w:divsChild>
                <w:div w:id="463502861">
                  <w:marLeft w:val="0"/>
                  <w:marRight w:val="0"/>
                  <w:marTop w:val="0"/>
                  <w:marBottom w:val="0"/>
                  <w:divBdr>
                    <w:top w:val="none" w:sz="0" w:space="0" w:color="auto"/>
                    <w:left w:val="none" w:sz="0" w:space="0" w:color="auto"/>
                    <w:bottom w:val="none" w:sz="0" w:space="0" w:color="auto"/>
                    <w:right w:val="none" w:sz="0" w:space="0" w:color="auto"/>
                  </w:divBdr>
                  <w:divsChild>
                    <w:div w:id="80112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03702">
              <w:marLeft w:val="0"/>
              <w:marRight w:val="0"/>
              <w:marTop w:val="0"/>
              <w:marBottom w:val="0"/>
              <w:divBdr>
                <w:top w:val="none" w:sz="0" w:space="0" w:color="auto"/>
                <w:left w:val="none" w:sz="0" w:space="0" w:color="auto"/>
                <w:bottom w:val="none" w:sz="0" w:space="0" w:color="auto"/>
                <w:right w:val="none" w:sz="0" w:space="0" w:color="auto"/>
              </w:divBdr>
            </w:div>
            <w:div w:id="183730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3111</Words>
  <Characters>18355</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hakelsoft p</vt:lpstr>
    </vt:vector>
  </TitlesOfParts>
  <Company/>
  <LinksUpToDate>false</LinksUpToDate>
  <CharactersWithSpaces>21424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hakelsoft p</dc:title>
  <dc:subject/>
  <dc:creator>Martin Veselý</dc:creator>
  <cp:keywords/>
  <dc:description/>
  <cp:lastModifiedBy>Martin Veselý</cp:lastModifiedBy>
  <cp:revision>2</cp:revision>
  <dcterms:created xsi:type="dcterms:W3CDTF">2017-11-26T11:02:00Z</dcterms:created>
  <dcterms:modified xsi:type="dcterms:W3CDTF">2017-11-26T11:02:00Z</dcterms:modified>
</cp:coreProperties>
</file>